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10E28" w:rsidRDefault="00910E28">
      <w:pPr>
        <w:spacing w:before="240" w:after="240"/>
      </w:pPr>
    </w:p>
    <w:p w14:paraId="00000002" w14:textId="77777777" w:rsidR="00910E28" w:rsidRDefault="00E96A7F">
      <w:pPr>
        <w:spacing w:before="240" w:after="240"/>
        <w:jc w:val="center"/>
      </w:pPr>
      <w:r>
        <w:t>Proposition de</w:t>
      </w:r>
    </w:p>
    <w:p w14:paraId="00000003" w14:textId="77777777" w:rsidR="00910E28" w:rsidRDefault="00E96A7F">
      <w:pPr>
        <w:spacing w:before="240" w:after="240"/>
        <w:jc w:val="center"/>
        <w:rPr>
          <w:b/>
        </w:rPr>
      </w:pPr>
      <w:r>
        <w:rPr>
          <w:b/>
        </w:rPr>
        <w:t>REGLEMENT DU PARLEMENT EUROPEEN ET DU CONSEIL</w:t>
      </w:r>
    </w:p>
    <w:p w14:paraId="00000004" w14:textId="77777777" w:rsidR="00910E28" w:rsidRDefault="00E96A7F">
      <w:pPr>
        <w:spacing w:before="240" w:after="240"/>
        <w:rPr>
          <w:b/>
        </w:rPr>
      </w:pPr>
      <w:r>
        <w:tab/>
      </w:r>
      <w:r>
        <w:rPr>
          <w:b/>
        </w:rPr>
        <w:t xml:space="preserve"> Relatif à la protection des données et de la vie privée dans l’Union européenne</w:t>
      </w:r>
    </w:p>
    <w:p w14:paraId="00000005" w14:textId="77777777" w:rsidR="00910E28" w:rsidRDefault="00E96A7F">
      <w:pPr>
        <w:spacing w:before="240" w:after="240"/>
      </w:pPr>
      <w:r>
        <w:t>LE PARLEMENT EUROPÉEN ET LE CONSEIL DE L’UNION EUROPÉENNE,</w:t>
      </w:r>
    </w:p>
    <w:p w14:paraId="00000006" w14:textId="77777777" w:rsidR="00910E28" w:rsidRDefault="00E96A7F">
      <w:pPr>
        <w:spacing w:before="240" w:after="240"/>
      </w:pPr>
      <w:r>
        <w:t>Vu le traité sur l’Union européenne, et notamment son article 2,</w:t>
      </w:r>
    </w:p>
    <w:p w14:paraId="00000007" w14:textId="77777777" w:rsidR="00910E28" w:rsidRDefault="00E96A7F">
      <w:pPr>
        <w:spacing w:before="240" w:after="240"/>
      </w:pPr>
      <w:r>
        <w:t>Vu la Charte des droits fondamentaux de l’Union européenne, notamment son article 8,</w:t>
      </w:r>
    </w:p>
    <w:p w14:paraId="00000008" w14:textId="77777777" w:rsidR="00910E28" w:rsidRDefault="00E96A7F">
      <w:pPr>
        <w:spacing w:before="240" w:after="240"/>
      </w:pPr>
      <w:r>
        <w:t>Vu le Traité sur le fonctionnement de l’Union européenne, notamment ses articles 16 et 114,</w:t>
      </w:r>
    </w:p>
    <w:p w14:paraId="00000009" w14:textId="77777777" w:rsidR="00910E28" w:rsidRDefault="00E96A7F">
      <w:pPr>
        <w:spacing w:before="240" w:after="240"/>
      </w:pPr>
      <w:r>
        <w:t>Vu le Règlement général sur la protection des données (RGPD),</w:t>
      </w:r>
    </w:p>
    <w:p w14:paraId="0000000A" w14:textId="77777777" w:rsidR="00910E28" w:rsidRDefault="00E96A7F">
      <w:pPr>
        <w:spacing w:before="240" w:after="240"/>
      </w:pPr>
      <w:r>
        <w:t>Après consultation des institutions et organes compétents de l’Union européenne,</w:t>
      </w:r>
    </w:p>
    <w:p w14:paraId="3A732802" w14:textId="6667183C" w:rsidR="00233300" w:rsidRDefault="00233300">
      <w:pPr>
        <w:spacing w:before="240" w:after="240"/>
      </w:pPr>
      <w:r>
        <w:t>Vu l’avis favorable du comité consultatif,</w:t>
      </w:r>
    </w:p>
    <w:p w14:paraId="0000000B" w14:textId="77777777" w:rsidR="00910E28" w:rsidRDefault="00E96A7F">
      <w:pPr>
        <w:spacing w:before="240" w:after="240"/>
      </w:pPr>
      <w:r>
        <w:t>Statuant conformément à la procédure législative ordinaire,</w:t>
      </w:r>
    </w:p>
    <w:p w14:paraId="0000000C" w14:textId="77777777" w:rsidR="00910E28" w:rsidRDefault="00E96A7F">
      <w:pPr>
        <w:spacing w:before="240" w:after="240"/>
      </w:pPr>
      <w:r>
        <w:t>Considérant ce qui suit :</w:t>
      </w:r>
    </w:p>
    <w:p w14:paraId="0000000D" w14:textId="77777777" w:rsidR="00910E28" w:rsidRDefault="00E96A7F">
      <w:pPr>
        <w:spacing w:before="240" w:after="240"/>
        <w:rPr>
          <w:i/>
        </w:rPr>
      </w:pPr>
      <w:r>
        <w:rPr>
          <w:i/>
        </w:rPr>
        <w:t>Article 1</w:t>
      </w:r>
    </w:p>
    <w:p w14:paraId="0000000E" w14:textId="77777777" w:rsidR="00910E28" w:rsidRDefault="00E96A7F">
      <w:pPr>
        <w:spacing w:before="240" w:after="240"/>
        <w:rPr>
          <w:i/>
        </w:rPr>
      </w:pPr>
      <w:r>
        <w:rPr>
          <w:i/>
        </w:rPr>
        <w:t>Le présent règlement vise à renforcer la protection des données personnelles et de</w:t>
      </w:r>
      <w:r>
        <w:rPr>
          <w:i/>
          <w:color w:val="76923C"/>
        </w:rPr>
        <w:t xml:space="preserve"> </w:t>
      </w:r>
      <w:r>
        <w:rPr>
          <w:i/>
        </w:rPr>
        <w:t>la vie privée dans l’Union européenne, à</w:t>
      </w:r>
      <w:r>
        <w:rPr>
          <w:i/>
          <w:color w:val="C27BA0"/>
        </w:rPr>
        <w:t xml:space="preserve"> </w:t>
      </w:r>
      <w:r>
        <w:rPr>
          <w:i/>
          <w:color w:val="8E7CC3"/>
        </w:rPr>
        <w:t>renforcer et assurer</w:t>
      </w:r>
      <w:r>
        <w:rPr>
          <w:i/>
        </w:rPr>
        <w:t xml:space="preserve"> une application uniforme des règles en matière de cybersécurité et de confidentialité.</w:t>
      </w:r>
    </w:p>
    <w:p w14:paraId="0000000F" w14:textId="77777777" w:rsidR="00910E28" w:rsidRDefault="00E96A7F">
      <w:pPr>
        <w:spacing w:before="240" w:after="240"/>
        <w:rPr>
          <w:strike/>
          <w:color w:val="FF9900"/>
        </w:rPr>
      </w:pPr>
      <w:r>
        <w:rPr>
          <w:i/>
          <w:color w:val="8E7CC3"/>
        </w:rPr>
        <w:t xml:space="preserve">Eviter le stock de données pour minimiser l’impact carbone </w:t>
      </w:r>
      <w:r>
        <w:rPr>
          <w:strike/>
          <w:color w:val="FF9900"/>
        </w:rPr>
        <w:br/>
      </w:r>
      <w:r>
        <w:rPr>
          <w:strike/>
          <w:color w:val="FF9900"/>
        </w:rPr>
        <w:br/>
      </w:r>
    </w:p>
    <w:p w14:paraId="00000010" w14:textId="77777777" w:rsidR="00910E28" w:rsidRDefault="00E96A7F">
      <w:pPr>
        <w:spacing w:before="240" w:after="240"/>
        <w:rPr>
          <w:i/>
        </w:rPr>
      </w:pPr>
      <w:r>
        <w:rPr>
          <w:i/>
        </w:rPr>
        <w:t>Article 2</w:t>
      </w:r>
    </w:p>
    <w:p w14:paraId="00000011" w14:textId="77777777" w:rsidR="00910E28" w:rsidRDefault="00E96A7F">
      <w:pPr>
        <w:spacing w:before="240" w:after="240"/>
        <w:rPr>
          <w:i/>
          <w:color w:val="351C75"/>
        </w:rPr>
      </w:pPr>
      <w:r>
        <w:rPr>
          <w:i/>
        </w:rPr>
        <w:t>Le présent règlement s’applique à toutes les institutions, organes et organismes de l’Union ainsi qu’aux États membres lorsqu’ils mettent en œuvre le droit de l’Union.</w:t>
      </w:r>
      <w:r>
        <w:rPr>
          <w:i/>
        </w:rPr>
        <w:br/>
      </w:r>
    </w:p>
    <w:p w14:paraId="00000012" w14:textId="77777777" w:rsidR="00910E28" w:rsidRDefault="00E96A7F">
      <w:pPr>
        <w:spacing w:before="240" w:after="240"/>
        <w:rPr>
          <w:color w:val="8E7CC3"/>
        </w:rPr>
      </w:pPr>
      <w:r>
        <w:rPr>
          <w:color w:val="8E7CC3"/>
        </w:rPr>
        <w:t xml:space="preserve">Le présent règlement institue la distribution d’appareils connectés “certifiés UE” dans lesquels il y a toutes les normes de sécurité de l'UE. </w:t>
      </w:r>
    </w:p>
    <w:p w14:paraId="00000013" w14:textId="77777777" w:rsidR="00910E28" w:rsidRDefault="00E96A7F">
      <w:pPr>
        <w:spacing w:before="240" w:after="240"/>
        <w:rPr>
          <w:color w:val="8E7CC3"/>
        </w:rPr>
      </w:pPr>
      <w:r>
        <w:rPr>
          <w:color w:val="8E7CC3"/>
        </w:rPr>
        <w:t>Le HCPDUE est chargé de vérifier que chacune des législations nationales des Etats membres soit conforme à la législation européenne.</w:t>
      </w:r>
    </w:p>
    <w:p w14:paraId="00000014" w14:textId="77777777" w:rsidR="00910E28" w:rsidRDefault="00E96A7F">
      <w:pPr>
        <w:spacing w:before="240" w:after="240"/>
        <w:rPr>
          <w:color w:val="8E7CC3"/>
        </w:rPr>
      </w:pPr>
      <w:r>
        <w:rPr>
          <w:color w:val="8E7CC3"/>
        </w:rPr>
        <w:t xml:space="preserve">Ainsi, les États doivent être soumis au même contrôle contraignant de la part du HCPDUE que les autres et le HCPDUE  rend un rapport mensuel, visite surprise en personne d’un </w:t>
      </w:r>
      <w:r>
        <w:rPr>
          <w:color w:val="8E7CC3"/>
        </w:rPr>
        <w:lastRenderedPageBreak/>
        <w:t>membre du HCPDUE, taxe. Les entreprises non compétitives (peu de part de marché), telles que les entreprises jeunes et anciennes, seront soumises à un contrôle moins strict afin de ne pas les affaiblir.</w:t>
      </w:r>
    </w:p>
    <w:p w14:paraId="00000015" w14:textId="77777777" w:rsidR="00910E28" w:rsidRDefault="00E96A7F">
      <w:pPr>
        <w:spacing w:before="240" w:after="240"/>
        <w:jc w:val="center"/>
      </w:pPr>
      <w:r>
        <w:t>Article 3</w:t>
      </w:r>
    </w:p>
    <w:p w14:paraId="00000016" w14:textId="77777777" w:rsidR="00910E28" w:rsidRDefault="00E96A7F">
      <w:pPr>
        <w:spacing w:before="240" w:after="240"/>
      </w:pPr>
      <w:r>
        <w:t>Il est institué un Haut-Commissaire à la Protection des Données de l’Union européenne (HCPDUE), chargé d’assurer la surveillance et le respect des règles européennes en matière de protection des données et de la vie privée. Le HCPDUE dispose du pouvoir d’enquêter sur toute violation présumée et peut saisir la Cour de justice de l’Union européenne (CJUE) en cas de non-conformité au droit de l’Union européenne.</w:t>
      </w:r>
    </w:p>
    <w:p w14:paraId="00000017" w14:textId="77777777" w:rsidR="00910E28" w:rsidRDefault="00E96A7F">
      <w:pPr>
        <w:spacing w:before="240" w:after="160"/>
      </w:pPr>
      <w:r>
        <w:t xml:space="preserve">Le HCPDUE est présent </w:t>
      </w:r>
      <w:r>
        <w:rPr>
          <w:color w:val="8E7CC3"/>
        </w:rPr>
        <w:t xml:space="preserve">au minimum 3 fois par an </w:t>
      </w:r>
      <w:r>
        <w:t>lorsqu’il est question de la protection des données ou de la vie privée à la Commission européenne.</w:t>
      </w:r>
    </w:p>
    <w:p w14:paraId="00000018" w14:textId="77777777" w:rsidR="00910E28" w:rsidRDefault="00E96A7F">
      <w:pPr>
        <w:spacing w:before="240" w:after="160"/>
      </w:pPr>
      <w:r>
        <w:t>Le HCPDUE doit présenter son programme en début et fin de mandat devant la Commission européenne</w:t>
      </w:r>
      <w:r>
        <w:rPr>
          <w:color w:val="8E7CC3"/>
        </w:rPr>
        <w:t xml:space="preserve"> et devant le Parlement européen</w:t>
      </w:r>
      <w:r>
        <w:t>. Il peut être soumis à des questions et des entretiens.</w:t>
      </w:r>
    </w:p>
    <w:p w14:paraId="00000019" w14:textId="77777777" w:rsidR="00910E28" w:rsidRDefault="00E96A7F">
      <w:pPr>
        <w:spacing w:before="240" w:after="240"/>
        <w:rPr>
          <w:color w:val="FF9900"/>
        </w:rPr>
      </w:pPr>
      <w:r>
        <w:t>Il est institué un commissaire dans un portefeuille spécifique de l’UE.</w:t>
      </w:r>
    </w:p>
    <w:p w14:paraId="0000001A" w14:textId="77777777" w:rsidR="00910E28" w:rsidRDefault="00E96A7F">
      <w:pPr>
        <w:spacing w:before="240" w:after="240"/>
        <w:jc w:val="center"/>
      </w:pPr>
      <w:r>
        <w:t>Article 4</w:t>
      </w:r>
    </w:p>
    <w:p w14:paraId="0000001B" w14:textId="77777777" w:rsidR="00910E28" w:rsidRDefault="00E96A7F">
      <w:pPr>
        <w:spacing w:before="240" w:after="240"/>
      </w:pPr>
      <w:r>
        <w:t>En cas de violation grave ou systématique des règles de protection des données, le Conseil peut, sur proposition de la Commission et après consultation du Parlement européen, adopter des sanctions proportionnées.</w:t>
      </w:r>
    </w:p>
    <w:p w14:paraId="0000001C" w14:textId="77777777" w:rsidR="00910E28" w:rsidRDefault="00E96A7F">
      <w:pPr>
        <w:spacing w:before="240" w:after="240"/>
        <w:rPr>
          <w:color w:val="8E7CC3"/>
        </w:rPr>
      </w:pPr>
      <w:r>
        <w:rPr>
          <w:color w:val="8E7CC3"/>
        </w:rPr>
        <w:t>Ces sanctions peuvent inclure des amendes, des restrictions d’accès à certains services numériques ou d’autres mesures ciblées. éviter en particulier les restrictions d’accès à certains services numériques, en cas de sanctions , les services doivent être énumérés, la restrictions ne doit pas être totale et doit s’appliquer uniquement temporairement et les utilisateurs doivent être avertis des raisons de cette restrictions.</w:t>
      </w:r>
    </w:p>
    <w:p w14:paraId="0000001D" w14:textId="77777777" w:rsidR="00910E28" w:rsidRDefault="00E96A7F">
      <w:pPr>
        <w:spacing w:before="240" w:after="240"/>
        <w:rPr>
          <w:color w:val="8E7CC3"/>
        </w:rPr>
      </w:pPr>
      <w:r>
        <w:rPr>
          <w:color w:val="8E7CC3"/>
        </w:rPr>
        <w:t>Un message d’avertissement sera adressé aux utilisateurs tentant d’accéder aux applications ou services concernés, les informant de la nature de la sanction et des alternatives disponibles.</w:t>
      </w:r>
    </w:p>
    <w:p w14:paraId="0000001E" w14:textId="77777777" w:rsidR="00910E28" w:rsidRDefault="00E96A7F">
      <w:pPr>
        <w:spacing w:before="240" w:after="240"/>
        <w:rPr>
          <w:color w:val="81D41A"/>
        </w:rPr>
      </w:pPr>
      <w:r>
        <w:rPr>
          <w:color w:val="81D41A"/>
        </w:rPr>
        <w:br/>
      </w:r>
      <w:r>
        <w:rPr>
          <w:color w:val="81D41A"/>
        </w:rPr>
        <w:br/>
      </w:r>
    </w:p>
    <w:p w14:paraId="0000001F" w14:textId="77777777" w:rsidR="00910E28" w:rsidRDefault="00E96A7F">
      <w:pPr>
        <w:spacing w:before="240"/>
        <w:rPr>
          <w:color w:val="81D41A"/>
        </w:rPr>
      </w:pPr>
      <w:r>
        <w:rPr>
          <w:color w:val="81D41A"/>
        </w:rPr>
        <w:br/>
      </w:r>
    </w:p>
    <w:p w14:paraId="00000020" w14:textId="77777777" w:rsidR="00910E28" w:rsidRDefault="00910E28">
      <w:pPr>
        <w:spacing w:before="240" w:after="240"/>
      </w:pPr>
    </w:p>
    <w:sectPr w:rsidR="00910E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28"/>
    <w:rsid w:val="00233300"/>
    <w:rsid w:val="00607BAE"/>
    <w:rsid w:val="006F64EC"/>
    <w:rsid w:val="00910E28"/>
    <w:rsid w:val="00960E8E"/>
    <w:rsid w:val="00E96A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1EC7"/>
  <w15:docId w15:val="{D80F4AC2-D0F4-4F60-93EB-FB1FEE67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2987</Characters>
  <Application>Microsoft Office Word</Application>
  <DocSecurity>4</DocSecurity>
  <Lines>24</Lines>
  <Paragraphs>7</Paragraphs>
  <ScaleCrop>false</ScaleCrop>
  <Company>Universite Savoie Mont Blanc</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Bouvier</dc:creator>
  <cp:lastModifiedBy>Damien Bouvier</cp:lastModifiedBy>
  <cp:revision>2</cp:revision>
  <dcterms:created xsi:type="dcterms:W3CDTF">2025-04-03T10:43:00Z</dcterms:created>
  <dcterms:modified xsi:type="dcterms:W3CDTF">2025-04-03T10:43:00Z</dcterms:modified>
</cp:coreProperties>
</file>