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812B0" w14:textId="77777777" w:rsidR="008838D5" w:rsidRDefault="009427D5">
      <w:pPr>
        <w:spacing w:before="240" w:after="240"/>
      </w:pPr>
      <w:r>
        <w:rPr>
          <w:noProof/>
        </w:rPr>
        <w:drawing>
          <wp:inline distT="114300" distB="114300" distL="114300" distR="114300" wp14:anchorId="584791A1" wp14:editId="4CAAB5B7">
            <wp:extent cx="1346200" cy="939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46200" cy="939800"/>
                    </a:xfrm>
                    <a:prstGeom prst="rect">
                      <a:avLst/>
                    </a:prstGeom>
                    <a:ln/>
                  </pic:spPr>
                </pic:pic>
              </a:graphicData>
            </a:graphic>
          </wp:inline>
        </w:drawing>
      </w:r>
    </w:p>
    <w:p w14:paraId="1C01D563" w14:textId="77777777" w:rsidR="008838D5" w:rsidRDefault="009427D5">
      <w:pPr>
        <w:spacing w:before="240" w:after="240"/>
        <w:jc w:val="center"/>
      </w:pPr>
      <w:r>
        <w:t>Proposition de</w:t>
      </w:r>
    </w:p>
    <w:p w14:paraId="0D63FC94" w14:textId="77777777" w:rsidR="008838D5" w:rsidRDefault="009427D5">
      <w:pPr>
        <w:spacing w:before="240" w:after="240"/>
        <w:jc w:val="center"/>
        <w:rPr>
          <w:b/>
        </w:rPr>
      </w:pPr>
      <w:r>
        <w:rPr>
          <w:b/>
        </w:rPr>
        <w:t>REGLEMENT DU PARLEMENT EUROPEEN ET DU CONSEIL</w:t>
      </w:r>
    </w:p>
    <w:p w14:paraId="4FDD636D" w14:textId="77777777" w:rsidR="008838D5" w:rsidRDefault="009427D5">
      <w:pPr>
        <w:spacing w:before="240" w:after="240"/>
        <w:jc w:val="center"/>
        <w:rPr>
          <w:b/>
        </w:rPr>
      </w:pPr>
      <w:r>
        <w:rPr>
          <w:b/>
        </w:rPr>
        <w:t xml:space="preserve">Relatif aux exportations de produits hautement stratégique pour garantir les intérêts </w:t>
      </w:r>
      <w:proofErr w:type="gramStart"/>
      <w:r>
        <w:rPr>
          <w:b/>
        </w:rPr>
        <w:t>de</w:t>
      </w:r>
      <w:proofErr w:type="gramEnd"/>
      <w:r>
        <w:rPr>
          <w:b/>
        </w:rPr>
        <w:t xml:space="preserve"> l’Union Européenne.</w:t>
      </w:r>
    </w:p>
    <w:p w14:paraId="7B3C2622" w14:textId="77777777" w:rsidR="008838D5" w:rsidRDefault="009427D5">
      <w:pPr>
        <w:spacing w:before="240" w:after="240"/>
      </w:pPr>
      <w:r>
        <w:t>LE PARLEMENT EUROPÉEN ET LE CONSEIL DE L’UNION EUROPÉENNE,</w:t>
      </w:r>
    </w:p>
    <w:p w14:paraId="4D8FE8E0" w14:textId="77777777" w:rsidR="008838D5" w:rsidRDefault="009427D5">
      <w:pPr>
        <w:spacing w:before="240"/>
      </w:pPr>
      <w:r>
        <w:t>vu le traité sur le fonctionnement de l’Union européenne, et notamment son article 207,</w:t>
      </w:r>
    </w:p>
    <w:p w14:paraId="24E5C367" w14:textId="77777777" w:rsidR="008838D5" w:rsidRDefault="009427D5">
      <w:pPr>
        <w:spacing w:before="240"/>
      </w:pPr>
      <w:r>
        <w:t>vu la proposition de la Commission européenne,</w:t>
      </w:r>
    </w:p>
    <w:p w14:paraId="1D85FAB8" w14:textId="77777777" w:rsidR="008838D5" w:rsidRDefault="009427D5">
      <w:pPr>
        <w:spacing w:before="240"/>
      </w:pPr>
      <w:r>
        <w:t>après transmission du projet d’acte législatif aux parlements nationaux,</w:t>
      </w:r>
    </w:p>
    <w:p w14:paraId="37F03671" w14:textId="77777777" w:rsidR="008838D5" w:rsidRDefault="009427D5">
      <w:pPr>
        <w:spacing w:before="240"/>
      </w:pPr>
      <w:r>
        <w:t>vu l’avis du Comité économique et social européen,</w:t>
      </w:r>
    </w:p>
    <w:p w14:paraId="15655F7A" w14:textId="77777777" w:rsidR="008838D5" w:rsidRDefault="009427D5">
      <w:pPr>
        <w:spacing w:before="240"/>
      </w:pPr>
      <w:r>
        <w:t>vu l’avis du Comité des régions,</w:t>
      </w:r>
    </w:p>
    <w:p w14:paraId="6D0C774D" w14:textId="77777777" w:rsidR="008838D5" w:rsidRDefault="009427D5">
      <w:pPr>
        <w:spacing w:before="240"/>
      </w:pPr>
      <w:r>
        <w:t>statuant conformément à la procédure législative ordinaire,</w:t>
      </w:r>
    </w:p>
    <w:p w14:paraId="1249B6B8" w14:textId="77777777" w:rsidR="008838D5" w:rsidRDefault="009427D5">
      <w:pPr>
        <w:spacing w:before="240" w:after="240"/>
      </w:pPr>
      <w:r>
        <w:t>considérant ce qui suit:</w:t>
      </w:r>
    </w:p>
    <w:p w14:paraId="30F35A21" w14:textId="77777777" w:rsidR="008838D5" w:rsidRDefault="009427D5">
      <w:pPr>
        <w:spacing w:before="240" w:after="240"/>
        <w:jc w:val="center"/>
        <w:rPr>
          <w:i/>
        </w:rPr>
      </w:pPr>
      <w:r>
        <w:rPr>
          <w:i/>
        </w:rPr>
        <w:t>Article 1</w:t>
      </w:r>
    </w:p>
    <w:p w14:paraId="02D5810E" w14:textId="77777777" w:rsidR="008838D5" w:rsidRDefault="009427D5">
      <w:pPr>
        <w:spacing w:before="240" w:after="240"/>
      </w:pPr>
      <w:r>
        <w:t>Sont concernés par ladite proposition les domaines considérés comme ayant un intérêt hautement stratégique pour garantir ceux de l’Union européenne.</w:t>
      </w:r>
    </w:p>
    <w:p w14:paraId="53C49A20" w14:textId="77777777" w:rsidR="008838D5" w:rsidRDefault="009427D5">
      <w:pPr>
        <w:spacing w:before="240" w:after="240"/>
        <w:ind w:left="360"/>
      </w:pPr>
      <w:r>
        <w:t>-</w:t>
      </w:r>
      <w:r>
        <w:rPr>
          <w:sz w:val="14"/>
          <w:szCs w:val="14"/>
        </w:rPr>
        <w:t xml:space="preserve">          </w:t>
      </w:r>
      <w:r>
        <w:t>Dans le domaine de la santé, sont concernés : les produits pharmaceutiques, les vaccins, les traitements médicaux et le matériel médical ;</w:t>
      </w:r>
    </w:p>
    <w:p w14:paraId="3859A5A1" w14:textId="77777777" w:rsidR="008838D5" w:rsidRDefault="009427D5">
      <w:pPr>
        <w:spacing w:before="240" w:after="240"/>
        <w:ind w:left="360"/>
      </w:pPr>
      <w:r>
        <w:t>-</w:t>
      </w:r>
      <w:r>
        <w:rPr>
          <w:sz w:val="14"/>
          <w:szCs w:val="14"/>
        </w:rPr>
        <w:t xml:space="preserve">          </w:t>
      </w:r>
      <w:r>
        <w:t>Dans le domaine militaire, sont concernés : l’ensemble des munitions, des armes légères et lourdes (terre, air et espace, marine) ;</w:t>
      </w:r>
    </w:p>
    <w:p w14:paraId="6233E076" w14:textId="77777777" w:rsidR="008838D5" w:rsidRDefault="009427D5">
      <w:pPr>
        <w:spacing w:before="240" w:after="240"/>
        <w:ind w:left="360"/>
        <w:rPr>
          <w:color w:val="FF0000"/>
        </w:rPr>
      </w:pPr>
      <w:r>
        <w:t>-</w:t>
      </w:r>
      <w:r>
        <w:rPr>
          <w:sz w:val="14"/>
          <w:szCs w:val="14"/>
        </w:rPr>
        <w:t xml:space="preserve">          </w:t>
      </w:r>
      <w:r>
        <w:t xml:space="preserve">Dans le domaine spatial, </w:t>
      </w:r>
      <w:r>
        <w:rPr>
          <w:color w:val="FF0000"/>
        </w:rPr>
        <w:t xml:space="preserve">et aérien </w:t>
      </w:r>
      <w:r>
        <w:t xml:space="preserve">sont concernés : les satellites, les fusées, les données scientifiques, les lanceurs et les sites de lancements, en cas de mission prochaine, tout le matériel nécessaire à son bon déroulement, </w:t>
      </w:r>
      <w:r>
        <w:rPr>
          <w:color w:val="FF0000"/>
        </w:rPr>
        <w:t>ainsi que le matériel aérien de la compagnie européenne Airbus.</w:t>
      </w:r>
    </w:p>
    <w:p w14:paraId="7B36F9F0" w14:textId="77777777" w:rsidR="008838D5" w:rsidRDefault="009427D5">
      <w:pPr>
        <w:spacing w:before="240" w:after="240"/>
        <w:ind w:left="360"/>
        <w:rPr>
          <w:color w:val="00B050"/>
        </w:rPr>
      </w:pPr>
      <w:r>
        <w:rPr>
          <w:color w:val="FF0000"/>
        </w:rPr>
        <w:t>-</w:t>
      </w:r>
      <w:r>
        <w:rPr>
          <w:color w:val="FF0000"/>
          <w:sz w:val="14"/>
          <w:szCs w:val="14"/>
        </w:rPr>
        <w:t xml:space="preserve">        </w:t>
      </w:r>
      <w:r>
        <w:rPr>
          <w:strike/>
          <w:color w:val="FF0000"/>
          <w:sz w:val="14"/>
          <w:szCs w:val="14"/>
        </w:rPr>
        <w:t xml:space="preserve">  </w:t>
      </w:r>
      <w:r>
        <w:rPr>
          <w:strike/>
          <w:color w:val="FF0000"/>
        </w:rPr>
        <w:t xml:space="preserve">Dans le domaine agricole, sont concernés : le blé, les produits laitiers, le maïs, le raisin et les olives. Avec introduction de quotas d’exportation pour préserver la souveraineté alimentaire de l’Europe.  </w:t>
      </w:r>
      <w:r>
        <w:rPr>
          <w:color w:val="00B050"/>
        </w:rPr>
        <w:t xml:space="preserve">Prioriser les produits agricoles européen </w:t>
      </w:r>
    </w:p>
    <w:p w14:paraId="071F5BAF" w14:textId="77777777" w:rsidR="008838D5" w:rsidRDefault="009427D5">
      <w:pPr>
        <w:spacing w:before="240" w:after="240"/>
        <w:ind w:left="360"/>
        <w:rPr>
          <w:strike/>
          <w:color w:val="FF9900"/>
        </w:rPr>
      </w:pPr>
      <w:r>
        <w:rPr>
          <w:strike/>
          <w:color w:val="FF0000"/>
        </w:rPr>
        <w:lastRenderedPageBreak/>
        <w:t>ð</w:t>
      </w:r>
      <w:r>
        <w:rPr>
          <w:rFonts w:ascii="Times New Roman" w:eastAsia="Times New Roman" w:hAnsi="Times New Roman" w:cs="Times New Roman"/>
          <w:strike/>
          <w:color w:val="FF0000"/>
          <w:sz w:val="14"/>
          <w:szCs w:val="14"/>
        </w:rPr>
        <w:t xml:space="preserve">  </w:t>
      </w:r>
      <w:r>
        <w:rPr>
          <w:strike/>
          <w:color w:val="FF0000"/>
        </w:rPr>
        <w:t xml:space="preserve">Sur tous les domaines précédemment cités, 25% de droits de douane supplémentaires à ceux déjà en vigueur dans l’Union Européenne, et 50% pour Airbus.  </w:t>
      </w:r>
    </w:p>
    <w:p w14:paraId="590D06D7" w14:textId="77777777" w:rsidR="008838D5" w:rsidRDefault="009427D5">
      <w:pPr>
        <w:spacing w:before="240" w:after="240"/>
        <w:jc w:val="center"/>
        <w:rPr>
          <w:i/>
        </w:rPr>
      </w:pPr>
      <w:r>
        <w:rPr>
          <w:i/>
        </w:rPr>
        <w:t>Article 2</w:t>
      </w:r>
    </w:p>
    <w:p w14:paraId="63CC3DC5" w14:textId="77777777" w:rsidR="008838D5" w:rsidRDefault="009427D5">
      <w:pPr>
        <w:spacing w:before="240" w:after="240"/>
      </w:pPr>
      <w:r>
        <w:t>Cet article présente les restrictions relatives aux exportations liées aux différents domaines stratégique</w:t>
      </w:r>
      <w:r>
        <w:rPr>
          <w:color w:val="93C47D"/>
        </w:rPr>
        <w:t>s</w:t>
      </w:r>
      <w:r>
        <w:t xml:space="preserve"> identifiés ci-dessus.</w:t>
      </w:r>
    </w:p>
    <w:p w14:paraId="2D6A9C56" w14:textId="77777777" w:rsidR="008838D5" w:rsidRDefault="009427D5">
      <w:pPr>
        <w:spacing w:before="240" w:after="240"/>
        <w:ind w:firstLine="700"/>
      </w:pPr>
      <w:r>
        <w:t xml:space="preserve">2.1. Les États-membres </w:t>
      </w:r>
      <w:r>
        <w:rPr>
          <w:strike/>
        </w:rPr>
        <w:t>ainsi que</w:t>
      </w:r>
      <w:r>
        <w:rPr>
          <w:highlight w:val="green"/>
        </w:rPr>
        <w:t xml:space="preserve"> (</w:t>
      </w:r>
      <w:r>
        <w:rPr>
          <w:color w:val="FF9900"/>
          <w:highlight w:val="green"/>
        </w:rPr>
        <w:t xml:space="preserve">, </w:t>
      </w:r>
      <w:r>
        <w:rPr>
          <w:highlight w:val="green"/>
        </w:rPr>
        <w:t xml:space="preserve">l’Union Européenne </w:t>
      </w:r>
      <w:r>
        <w:rPr>
          <w:strike/>
          <w:highlight w:val="green"/>
        </w:rPr>
        <w:t>et</w:t>
      </w:r>
      <w:r>
        <w:rPr>
          <w:color w:val="93C47D"/>
          <w:highlight w:val="green"/>
        </w:rPr>
        <w:t xml:space="preserve"> ainsi que</w:t>
      </w:r>
      <w:r>
        <w:rPr>
          <w:color w:val="00B050"/>
          <w:highlight w:val="green"/>
        </w:rPr>
        <w:t xml:space="preserve"> </w:t>
      </w:r>
      <w:r>
        <w:rPr>
          <w:highlight w:val="green"/>
        </w:rPr>
        <w:t>l’ensemble de ses institutions supprimer)</w:t>
      </w:r>
      <w:r>
        <w:t xml:space="preserve"> bénéficient désormais de la priorité sur la production, la livraison et l’achat de toutes commandes passées à des entreprises nationales ou européennes.</w:t>
      </w:r>
    </w:p>
    <w:p w14:paraId="6DFC6D0D" w14:textId="77777777" w:rsidR="008838D5" w:rsidRDefault="009427D5">
      <w:pPr>
        <w:spacing w:before="240" w:after="240"/>
        <w:ind w:left="1420"/>
      </w:pPr>
      <w:r>
        <w:t xml:space="preserve">2.1.1. Le mécanisme de priorité se limite à </w:t>
      </w:r>
      <w:r>
        <w:rPr>
          <w:strike/>
        </w:rPr>
        <w:t>40 %</w:t>
      </w:r>
      <w:r>
        <w:t xml:space="preserve"> </w:t>
      </w:r>
      <w:r>
        <w:rPr>
          <w:color w:val="FF0000"/>
        </w:rPr>
        <w:t xml:space="preserve">60% </w:t>
      </w:r>
      <w:r>
        <w:rPr>
          <w:color w:val="93C47D"/>
        </w:rPr>
        <w:t>50%</w:t>
      </w:r>
      <w:r>
        <w:t xml:space="preserve"> d’une production en cours envers toutes entités Étatiques et commerciales ou institutions extérieures à l’Union (</w:t>
      </w:r>
      <w:r>
        <w:rPr>
          <w:strike/>
          <w:color w:val="FF0000"/>
        </w:rPr>
        <w:t>préciser si cela concerne chaque entreprise individuellement ou l’ensemble du secteur donné)</w:t>
      </w:r>
      <w:r>
        <w:t>.</w:t>
      </w:r>
      <w:r>
        <w:rPr>
          <w:color w:val="FF0000"/>
        </w:rPr>
        <w:t xml:space="preserve"> </w:t>
      </w:r>
      <w:r>
        <w:t>Le mécanisme ne peut s’appliquer si plus de 70 % du temps (</w:t>
      </w:r>
      <w:r>
        <w:rPr>
          <w:color w:val="FF0000"/>
        </w:rPr>
        <w:t>de la production a été atteint</w:t>
      </w:r>
      <w:r>
        <w:t>) avant livraison d’une commande envers toutes entités Étatiques et commerciales ou institutions extérieures à l’Union, est atteint.</w:t>
      </w:r>
    </w:p>
    <w:p w14:paraId="07F07573" w14:textId="77777777" w:rsidR="008838D5" w:rsidRDefault="009427D5">
      <w:pPr>
        <w:spacing w:before="240" w:after="240"/>
        <w:ind w:left="1420"/>
        <w:rPr>
          <w:color w:val="93C47D"/>
        </w:rPr>
      </w:pPr>
      <w:r>
        <w:t xml:space="preserve">2.1.2 </w:t>
      </w:r>
      <w:r>
        <w:rPr>
          <w:color w:val="93C47D"/>
        </w:rPr>
        <w:t>L'accès prioritaire s’applique en cas de besoins urgents et pour des raisons sanitaires, de sécurité et économiques (en cas de crises)</w:t>
      </w:r>
    </w:p>
    <w:p w14:paraId="2ED67BA5" w14:textId="77777777" w:rsidR="008838D5" w:rsidRDefault="009427D5">
      <w:pPr>
        <w:spacing w:before="240" w:after="240"/>
        <w:rPr>
          <w:color w:val="FF0000"/>
          <w:sz w:val="24"/>
          <w:szCs w:val="24"/>
        </w:rPr>
      </w:pPr>
      <w:r>
        <w:t xml:space="preserve">          </w:t>
      </w:r>
      <w:r>
        <w:tab/>
        <w:t>2.2. Toutes exportations liées aux différents domaines stratégique</w:t>
      </w:r>
      <w:r>
        <w:rPr>
          <w:color w:val="FF9900"/>
        </w:rPr>
        <w:t>s</w:t>
      </w:r>
      <w:r>
        <w:t xml:space="preserve"> identifiés dans l’article précédent ne peuvent se faire qu’en limitant le transfert de technologie qu’il induit </w:t>
      </w:r>
      <w:r>
        <w:rPr>
          <w:color w:val="FF0000"/>
          <w:sz w:val="24"/>
          <w:szCs w:val="24"/>
        </w:rPr>
        <w:t>(brevets, savoir-faire, formations ?).</w:t>
      </w:r>
    </w:p>
    <w:p w14:paraId="75522BA0" w14:textId="77777777" w:rsidR="008838D5" w:rsidRDefault="009427D5">
      <w:pPr>
        <w:spacing w:before="240" w:after="240"/>
        <w:jc w:val="center"/>
        <w:rPr>
          <w:i/>
        </w:rPr>
      </w:pPr>
      <w:r>
        <w:rPr>
          <w:i/>
        </w:rPr>
        <w:t>Article 3</w:t>
      </w:r>
    </w:p>
    <w:p w14:paraId="6C608C4A" w14:textId="77777777" w:rsidR="008838D5" w:rsidRDefault="009427D5">
      <w:pPr>
        <w:spacing w:before="240" w:after="240"/>
      </w:pPr>
      <w:r>
        <w:t>Du fait que les États membres sont contraints dans leurs exportations commerciales, et afin de limiter tout impact négatif sur leur économie ; les États membres ont désormais l’obligation d’acheter au sein de l’Union Européenne, lorsque les alternatives équivalentes existent.</w:t>
      </w:r>
    </w:p>
    <w:p w14:paraId="4EF2D3C4" w14:textId="77777777" w:rsidR="008838D5" w:rsidRDefault="009427D5">
      <w:pPr>
        <w:numPr>
          <w:ilvl w:val="0"/>
          <w:numId w:val="1"/>
        </w:numPr>
        <w:rPr>
          <w:color w:val="FF0000"/>
        </w:rPr>
      </w:pPr>
      <w:r>
        <w:rPr>
          <w:color w:val="FF0000"/>
          <w:sz w:val="21"/>
          <w:szCs w:val="21"/>
          <w:highlight w:val="white"/>
        </w:rPr>
        <w:t xml:space="preserve">Remplacer “obliger” par </w:t>
      </w:r>
      <w:r>
        <w:rPr>
          <w:color w:val="FF0000"/>
          <w:sz w:val="21"/>
          <w:szCs w:val="21"/>
          <w:highlight w:val="cyan"/>
        </w:rPr>
        <w:t>“privilégier”:</w:t>
      </w:r>
      <w:r>
        <w:rPr>
          <w:color w:val="FF0000"/>
          <w:sz w:val="21"/>
          <w:szCs w:val="21"/>
          <w:highlight w:val="white"/>
        </w:rPr>
        <w:t xml:space="preserve"> notamment dans le cas de l’alinéa 3.1 </w:t>
      </w:r>
      <w:r>
        <w:rPr>
          <w:color w:val="0000FF"/>
          <w:sz w:val="21"/>
          <w:szCs w:val="21"/>
          <w:highlight w:val="white"/>
        </w:rPr>
        <w:t xml:space="preserve">laisser le obliger </w:t>
      </w:r>
    </w:p>
    <w:p w14:paraId="54B2DACC" w14:textId="77777777" w:rsidR="008838D5" w:rsidRDefault="009427D5">
      <w:pPr>
        <w:numPr>
          <w:ilvl w:val="0"/>
          <w:numId w:val="1"/>
        </w:numPr>
        <w:rPr>
          <w:color w:val="0000FF"/>
          <w:sz w:val="21"/>
          <w:szCs w:val="21"/>
          <w:highlight w:val="white"/>
        </w:rPr>
      </w:pPr>
      <w:r>
        <w:rPr>
          <w:color w:val="FF0000"/>
          <w:sz w:val="21"/>
          <w:szCs w:val="21"/>
          <w:highlight w:val="white"/>
        </w:rPr>
        <w:t>Rajouter un nv alinéa 3.1 : exceptions en cas d’urgence pour laisser une ctn large de manoeuvre en cas de crises sanitaires ou militaires</w:t>
      </w:r>
    </w:p>
    <w:p w14:paraId="6C80A0B8" w14:textId="77777777" w:rsidR="008838D5" w:rsidRDefault="009427D5">
      <w:pPr>
        <w:numPr>
          <w:ilvl w:val="0"/>
          <w:numId w:val="2"/>
        </w:numPr>
        <w:rPr>
          <w:color w:val="FF0000"/>
          <w:highlight w:val="cyan"/>
        </w:rPr>
      </w:pPr>
      <w:r>
        <w:rPr>
          <w:color w:val="FF0000"/>
          <w:highlight w:val="cyan"/>
        </w:rPr>
        <w:t xml:space="preserve">Peut nuire à ctn alliances militaire, remettre en cause notre défense: </w:t>
      </w:r>
      <w:r>
        <w:rPr>
          <w:color w:val="FF0000"/>
          <w:sz w:val="21"/>
          <w:szCs w:val="21"/>
          <w:highlight w:val="cyan"/>
        </w:rPr>
        <w:t xml:space="preserve">Cette obligation pourrait néanmoins affaiblir les relations internationales que nous entretenons avec les pays du monde entier. Des pays comme les Etats Unis, avec qui nous partageons des liens forts notamment dans l’OTAN pourrait alors envisager de réduire leur investissement dans cette alliance compressant alors la sécurité des pays européens. </w:t>
      </w:r>
    </w:p>
    <w:p w14:paraId="1DA2A02B" w14:textId="77777777" w:rsidR="008838D5" w:rsidRDefault="009427D5">
      <w:pPr>
        <w:numPr>
          <w:ilvl w:val="0"/>
          <w:numId w:val="2"/>
        </w:numPr>
        <w:spacing w:after="240"/>
        <w:rPr>
          <w:color w:val="0000FF"/>
          <w:sz w:val="21"/>
          <w:szCs w:val="21"/>
          <w:highlight w:val="cyan"/>
        </w:rPr>
      </w:pPr>
      <w:r>
        <w:rPr>
          <w:color w:val="0000FF"/>
          <w:sz w:val="21"/>
          <w:szCs w:val="21"/>
          <w:highlight w:val="cyan"/>
        </w:rPr>
        <w:t xml:space="preserve"> </w:t>
      </w:r>
      <w:r>
        <w:rPr>
          <w:color w:val="0000FF"/>
          <w:sz w:val="21"/>
          <w:szCs w:val="21"/>
        </w:rPr>
        <w:t xml:space="preserve">Les alliances militaires malgré cette politique peuvent continuer l’objectif est aussi d’obtenir une indépendance commercial et militaire. L’UE doit renforcer la solidarité au sein des Etats membres. En cas de crise les Etats membres ont l’obligation de s’entraider mais de ne pas aller vers l'extérieur </w:t>
      </w:r>
    </w:p>
    <w:p w14:paraId="02E745B3" w14:textId="77777777" w:rsidR="008838D5" w:rsidRDefault="009427D5">
      <w:pPr>
        <w:spacing w:before="240" w:after="240"/>
        <w:rPr>
          <w:color w:val="FF0000"/>
        </w:rPr>
      </w:pPr>
      <w:r>
        <w:rPr>
          <w:color w:val="FF0000"/>
        </w:rPr>
        <w:t xml:space="preserve"> </w:t>
      </w:r>
    </w:p>
    <w:p w14:paraId="7D69A0B7" w14:textId="77777777" w:rsidR="008838D5" w:rsidRDefault="008838D5">
      <w:pPr>
        <w:pBdr>
          <w:top w:val="nil"/>
          <w:left w:val="nil"/>
          <w:bottom w:val="nil"/>
          <w:right w:val="nil"/>
          <w:between w:val="nil"/>
        </w:pBdr>
      </w:pPr>
    </w:p>
    <w:sectPr w:rsidR="008838D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C27A0"/>
    <w:multiLevelType w:val="multilevel"/>
    <w:tmpl w:val="AD922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9B2C1F"/>
    <w:multiLevelType w:val="multilevel"/>
    <w:tmpl w:val="BD98E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1741187">
    <w:abstractNumId w:val="1"/>
  </w:num>
  <w:num w:numId="2" w16cid:durableId="12131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8D5"/>
    <w:rsid w:val="008838D5"/>
    <w:rsid w:val="00930C59"/>
    <w:rsid w:val="009427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BB4472B"/>
  <w15:docId w15:val="{4A4FA06C-C06B-4F99-A14C-38E7AB88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3630</Characters>
  <Application>Microsoft Office Word</Application>
  <DocSecurity>4</DocSecurity>
  <Lines>30</Lines>
  <Paragraphs>8</Paragraphs>
  <ScaleCrop>false</ScaleCrop>
  <Company>Universite Savoie Mont Blanc</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Bouvier</dc:creator>
  <cp:lastModifiedBy>Damien Bouvier</cp:lastModifiedBy>
  <cp:revision>2</cp:revision>
  <dcterms:created xsi:type="dcterms:W3CDTF">2025-04-03T09:58:00Z</dcterms:created>
  <dcterms:modified xsi:type="dcterms:W3CDTF">2025-04-03T09:58:00Z</dcterms:modified>
</cp:coreProperties>
</file>