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550F5" w14:textId="77777777" w:rsidR="00091B15" w:rsidRPr="00A42CCF" w:rsidRDefault="00D537D2">
      <w:pPr>
        <w:pStyle w:val="Corps"/>
        <w:rPr>
          <w:rFonts w:asciiTheme="majorHAnsi" w:hAnsiTheme="majorHAnsi"/>
        </w:rPr>
      </w:pPr>
      <w:r w:rsidRPr="00A42CCF">
        <w:rPr>
          <w:rFonts w:asciiTheme="majorHAnsi" w:hAnsiTheme="majorHAnsi"/>
        </w:rPr>
        <w:t xml:space="preserve">Proposition de la commission de justice : lutte face à la surpopulation carcérale. </w:t>
      </w:r>
    </w:p>
    <w:p w14:paraId="027FAFFC" w14:textId="77777777" w:rsidR="00091B15" w:rsidRPr="00A42CCF" w:rsidRDefault="00091B15">
      <w:pPr>
        <w:pStyle w:val="Corps"/>
        <w:rPr>
          <w:rFonts w:asciiTheme="majorHAnsi" w:hAnsiTheme="majorHAnsi"/>
        </w:rPr>
      </w:pPr>
    </w:p>
    <w:p w14:paraId="778EF604" w14:textId="77777777" w:rsidR="00091B15" w:rsidRPr="00A42CCF" w:rsidRDefault="00D537D2">
      <w:pPr>
        <w:pStyle w:val="Corps"/>
        <w:rPr>
          <w:rFonts w:asciiTheme="majorHAnsi" w:hAnsiTheme="majorHAnsi"/>
        </w:rPr>
      </w:pPr>
      <w:r w:rsidRPr="00A42CCF">
        <w:rPr>
          <w:rFonts w:asciiTheme="majorHAnsi" w:hAnsiTheme="majorHAnsi"/>
        </w:rPr>
        <w:t xml:space="preserve">== nombre de détenus dépasse la capacité officielle des prisons. </w:t>
      </w:r>
    </w:p>
    <w:p w14:paraId="4280DC62" w14:textId="77777777" w:rsidR="00091B15" w:rsidRPr="00A42CCF" w:rsidRDefault="00091B15">
      <w:pPr>
        <w:pStyle w:val="Corps"/>
        <w:rPr>
          <w:rFonts w:asciiTheme="majorHAnsi" w:hAnsiTheme="majorHAnsi"/>
        </w:rPr>
      </w:pPr>
    </w:p>
    <w:p w14:paraId="64937FC7" w14:textId="77777777" w:rsidR="00091B15" w:rsidRPr="00A42CCF" w:rsidRDefault="00D537D2">
      <w:pPr>
        <w:pStyle w:val="Corps"/>
        <w:rPr>
          <w:rFonts w:asciiTheme="majorHAnsi" w:hAnsiTheme="majorHAnsi"/>
        </w:rPr>
      </w:pPr>
      <w:r w:rsidRPr="00A42CCF">
        <w:rPr>
          <w:rFonts w:asciiTheme="majorHAnsi" w:hAnsiTheme="majorHAnsi"/>
        </w:rPr>
        <w:t>—Le droit à la dignité humaine est un droit « intangible » : art 10 de la convention européenne des droits de l’homme à laquelle les EM à travers la jurisprudence relative à l‘article 3 interdisant les tortures et les traitements inhumains et dégradants.</w:t>
      </w:r>
    </w:p>
    <w:p w14:paraId="0999EFE1" w14:textId="77777777" w:rsidR="00091B15" w:rsidRPr="00A42CCF" w:rsidRDefault="00091B15">
      <w:pPr>
        <w:pStyle w:val="Corps"/>
        <w:rPr>
          <w:rFonts w:asciiTheme="majorHAnsi" w:hAnsiTheme="majorHAnsi"/>
        </w:rPr>
      </w:pPr>
    </w:p>
    <w:p w14:paraId="71944481" w14:textId="77777777" w:rsidR="00091B15" w:rsidRPr="00A42CCF" w:rsidRDefault="00D537D2">
      <w:pPr>
        <w:pStyle w:val="Corps"/>
        <w:rPr>
          <w:rFonts w:asciiTheme="majorHAnsi" w:hAnsiTheme="majorHAnsi"/>
        </w:rPr>
      </w:pPr>
      <w:r w:rsidRPr="00A42CCF">
        <w:rPr>
          <w:rFonts w:asciiTheme="majorHAnsi" w:hAnsiTheme="majorHAnsi"/>
        </w:rPr>
        <w:t xml:space="preserve">À notre échelle, à l’échelle de l’Union européenne, il ne peut y avoir des états membres qui ne respectent pas ce principe. Il est donc du devoir de l’union que de pallier ce problème à sa solution. Sur la base de : </w:t>
      </w:r>
    </w:p>
    <w:p w14:paraId="60150ACA" w14:textId="77777777" w:rsidR="00091B15" w:rsidRPr="00A42CCF" w:rsidRDefault="00091B15">
      <w:pPr>
        <w:pStyle w:val="Corps"/>
        <w:rPr>
          <w:rFonts w:asciiTheme="majorHAnsi" w:hAnsiTheme="majorHAnsi"/>
        </w:rPr>
      </w:pPr>
    </w:p>
    <w:p w14:paraId="224BC006" w14:textId="77777777" w:rsidR="00091B15" w:rsidRPr="00A42CCF" w:rsidRDefault="00D537D2">
      <w:pPr>
        <w:pStyle w:val="Corps"/>
        <w:rPr>
          <w:rFonts w:asciiTheme="majorHAnsi" w:hAnsiTheme="majorHAnsi"/>
        </w:rPr>
      </w:pPr>
      <w:r w:rsidRPr="00A42CCF">
        <w:rPr>
          <w:rFonts w:asciiTheme="majorHAnsi" w:hAnsiTheme="majorHAnsi"/>
        </w:rPr>
        <w:t xml:space="preserve">—art 4 TUE = prévoit que la justice est une compétence partagée entre l’UE et les EM dans le cadre de l’espace de liberté, de sécurité et de justice. </w:t>
      </w:r>
    </w:p>
    <w:p w14:paraId="4F127B73" w14:textId="77777777" w:rsidR="00091B15" w:rsidRPr="00A42CCF" w:rsidRDefault="00D537D2">
      <w:pPr>
        <w:pStyle w:val="Corps"/>
        <w:rPr>
          <w:rFonts w:asciiTheme="majorHAnsi" w:hAnsiTheme="majorHAnsi"/>
        </w:rPr>
      </w:pPr>
      <w:r w:rsidRPr="00A42CCF">
        <w:rPr>
          <w:rFonts w:asciiTheme="majorHAnsi" w:hAnsiTheme="majorHAnsi"/>
        </w:rPr>
        <w:t>—art 2 TUE : « l’union est fondée sur les valeurs de respect de la dignité humaine ».</w:t>
      </w:r>
    </w:p>
    <w:p w14:paraId="1316B961" w14:textId="77777777" w:rsidR="00091B15" w:rsidRPr="00A42CCF" w:rsidRDefault="00D537D2">
      <w:pPr>
        <w:pStyle w:val="Corps"/>
        <w:rPr>
          <w:rFonts w:asciiTheme="majorHAnsi" w:hAnsiTheme="majorHAnsi"/>
        </w:rPr>
      </w:pPr>
      <w:r w:rsidRPr="00A42CCF">
        <w:rPr>
          <w:rFonts w:asciiTheme="majorHAnsi" w:hAnsiTheme="majorHAnsi"/>
        </w:rPr>
        <w:t xml:space="preserve">Et considérant que l’action des EM est insuffisante au regard des conditions de détention puisque en effet à titre d’exemple : la France a condamnée sur la base de l’article 7 pour non respect de la dignité humaine. En raison de la surpopulation carcérale. En 2023, l’UE comptait 1 place de prison pour 849 habitants. </w:t>
      </w:r>
    </w:p>
    <w:p w14:paraId="69D28678" w14:textId="77777777" w:rsidR="00091B15" w:rsidRPr="00A42CCF" w:rsidRDefault="00091B15">
      <w:pPr>
        <w:pStyle w:val="Corps"/>
        <w:rPr>
          <w:rFonts w:asciiTheme="majorHAnsi" w:hAnsiTheme="majorHAnsi"/>
        </w:rPr>
      </w:pPr>
    </w:p>
    <w:p w14:paraId="4C7D8754" w14:textId="77777777" w:rsidR="00091B15" w:rsidRPr="00A42CCF" w:rsidRDefault="00D537D2">
      <w:pPr>
        <w:pStyle w:val="Corps"/>
        <w:rPr>
          <w:rFonts w:asciiTheme="majorHAnsi" w:hAnsiTheme="majorHAnsi"/>
        </w:rPr>
      </w:pPr>
      <w:r w:rsidRPr="00A42CCF">
        <w:rPr>
          <w:rFonts w:asciiTheme="majorHAnsi" w:hAnsiTheme="majorHAnsi"/>
        </w:rPr>
        <w:t xml:space="preserve">Le constat est unanime : le problème est structurel ! </w:t>
      </w:r>
    </w:p>
    <w:p w14:paraId="06BD8446" w14:textId="77777777" w:rsidR="00091B15" w:rsidRPr="00A42CCF" w:rsidRDefault="00D537D2">
      <w:pPr>
        <w:pStyle w:val="Corps"/>
        <w:rPr>
          <w:rFonts w:asciiTheme="majorHAnsi" w:hAnsiTheme="majorHAnsi"/>
        </w:rPr>
      </w:pPr>
      <w:r w:rsidRPr="00A42CCF">
        <w:rPr>
          <w:rFonts w:asciiTheme="majorHAnsi" w:hAnsiTheme="majorHAnsi"/>
        </w:rPr>
        <w:t xml:space="preserve">La solution ne peut pas venir uniquement de l’administration pénitentiaire : il est donc nécessaire de mettre en place des mécanismes obligatoires de régulation carcérale. </w:t>
      </w:r>
    </w:p>
    <w:p w14:paraId="2F883458" w14:textId="77777777" w:rsidR="00091B15" w:rsidRPr="00A42CCF" w:rsidRDefault="00D537D2">
      <w:pPr>
        <w:pStyle w:val="Corps"/>
        <w:rPr>
          <w:rFonts w:asciiTheme="majorHAnsi" w:hAnsiTheme="majorHAnsi"/>
        </w:rPr>
      </w:pPr>
      <w:r w:rsidRPr="00A42CCF">
        <w:rPr>
          <w:rFonts w:asciiTheme="majorHAnsi" w:hAnsiTheme="majorHAnsi"/>
        </w:rPr>
        <w:t xml:space="preserve">Des mécanismes qui constituerait donc une plus value à l’action des EM qui semble insuffisante. </w:t>
      </w:r>
    </w:p>
    <w:p w14:paraId="174CCF51" w14:textId="77777777" w:rsidR="00091B15" w:rsidRPr="00A42CCF" w:rsidRDefault="00D537D2">
      <w:pPr>
        <w:pStyle w:val="Corps"/>
        <w:rPr>
          <w:rFonts w:asciiTheme="majorHAnsi" w:hAnsiTheme="majorHAnsi"/>
        </w:rPr>
      </w:pPr>
      <w:r w:rsidRPr="00A42CCF">
        <w:rPr>
          <w:rFonts w:asciiTheme="majorHAnsi" w:hAnsiTheme="majorHAnsi"/>
        </w:rPr>
        <w:t xml:space="preserve">Pour faire cesser la suroccupation carcérale, première cause d’atteinte à la dignité des personnes détenues. </w:t>
      </w:r>
    </w:p>
    <w:p w14:paraId="78BA0481" w14:textId="77777777" w:rsidR="00091B15" w:rsidRPr="00A42CCF" w:rsidRDefault="00091B15">
      <w:pPr>
        <w:pStyle w:val="Corps"/>
        <w:rPr>
          <w:rFonts w:asciiTheme="majorHAnsi" w:hAnsiTheme="majorHAnsi"/>
        </w:rPr>
      </w:pPr>
    </w:p>
    <w:p w14:paraId="134BBDE8" w14:textId="55DA29BB" w:rsidR="00091B15" w:rsidRPr="00A42CCF" w:rsidRDefault="00D537D2">
      <w:pPr>
        <w:pStyle w:val="Corps"/>
        <w:rPr>
          <w:rFonts w:asciiTheme="majorHAnsi" w:hAnsiTheme="majorHAnsi"/>
          <w:color w:val="2E7116" w:themeColor="accent3" w:themeShade="80"/>
        </w:rPr>
      </w:pPr>
      <w:r w:rsidRPr="00A42CCF">
        <w:rPr>
          <w:rFonts w:asciiTheme="majorHAnsi" w:hAnsiTheme="majorHAnsi"/>
        </w:rPr>
        <w:t xml:space="preserve">Art 1 ) La commission européenne propose donc la création d’un fond européen mis à disposition de l’union afin de faciliter : </w:t>
      </w:r>
    </w:p>
    <w:p w14:paraId="5BC11644" w14:textId="77777777" w:rsidR="00091B15" w:rsidRPr="00A42CCF" w:rsidRDefault="00091B15">
      <w:pPr>
        <w:pStyle w:val="Corps"/>
        <w:rPr>
          <w:rFonts w:asciiTheme="majorHAnsi" w:hAnsiTheme="majorHAnsi"/>
        </w:rPr>
      </w:pPr>
    </w:p>
    <w:p w14:paraId="19801642" w14:textId="10F1B663" w:rsidR="00091B15" w:rsidRPr="00A42CCF" w:rsidRDefault="00D537D2">
      <w:pPr>
        <w:pStyle w:val="Corps"/>
        <w:rPr>
          <w:rFonts w:asciiTheme="majorHAnsi" w:hAnsiTheme="majorHAnsi"/>
          <w:color w:val="2E7116" w:themeColor="accent3" w:themeShade="80"/>
        </w:rPr>
      </w:pPr>
      <w:r w:rsidRPr="00A42CCF">
        <w:rPr>
          <w:rFonts w:asciiTheme="majorHAnsi" w:hAnsiTheme="majorHAnsi"/>
        </w:rPr>
        <w:t>— création de prison supplémentaires</w:t>
      </w:r>
      <w:r w:rsidR="00065B4C" w:rsidRPr="00A42CCF">
        <w:rPr>
          <w:rFonts w:asciiTheme="majorHAnsi" w:hAnsiTheme="majorHAnsi"/>
        </w:rPr>
        <w:t xml:space="preserve"> </w:t>
      </w:r>
      <w:r w:rsidR="00065B4C" w:rsidRPr="00A42CCF">
        <w:rPr>
          <w:rFonts w:asciiTheme="majorHAnsi" w:hAnsiTheme="majorHAnsi"/>
          <w:color w:val="2E7116" w:themeColor="accent3" w:themeShade="80"/>
        </w:rPr>
        <w:t xml:space="preserve">en ciblant les pays dont </w:t>
      </w:r>
      <w:r w:rsidR="00521071" w:rsidRPr="00A42CCF">
        <w:rPr>
          <w:rFonts w:asciiTheme="majorHAnsi" w:hAnsiTheme="majorHAnsi"/>
          <w:color w:val="2E7116" w:themeColor="accent3" w:themeShade="80"/>
        </w:rPr>
        <w:t>le nombre de place est inférieur à 1 pour 400 habitants.</w:t>
      </w:r>
    </w:p>
    <w:p w14:paraId="61E29680" w14:textId="42A93488" w:rsidR="00091B15" w:rsidRPr="00A42CCF" w:rsidRDefault="00D537D2">
      <w:pPr>
        <w:pStyle w:val="Corps"/>
        <w:rPr>
          <w:rFonts w:asciiTheme="majorHAnsi" w:hAnsiTheme="majorHAnsi"/>
          <w:color w:val="2E7116" w:themeColor="accent3" w:themeShade="80"/>
        </w:rPr>
      </w:pPr>
      <w:r w:rsidRPr="00A42CCF">
        <w:rPr>
          <w:rFonts w:asciiTheme="majorHAnsi" w:hAnsiTheme="majorHAnsi"/>
        </w:rPr>
        <w:t xml:space="preserve">— formation </w:t>
      </w:r>
      <w:r w:rsidR="00065B4C" w:rsidRPr="00A42CCF">
        <w:rPr>
          <w:rFonts w:asciiTheme="majorHAnsi" w:hAnsiTheme="majorHAnsi"/>
        </w:rPr>
        <w:t>aux</w:t>
      </w:r>
      <w:r w:rsidRPr="00A42CCF">
        <w:rPr>
          <w:rFonts w:asciiTheme="majorHAnsi" w:hAnsiTheme="majorHAnsi"/>
        </w:rPr>
        <w:t xml:space="preserve"> métiers relatif au milieu pénitentiaire.</w:t>
      </w:r>
    </w:p>
    <w:p w14:paraId="71A756E3" w14:textId="0210F45F" w:rsidR="00065B4C" w:rsidRPr="00A42CCF" w:rsidRDefault="00665E7E" w:rsidP="00665E7E">
      <w:pPr>
        <w:pStyle w:val="Corps"/>
        <w:rPr>
          <w:rFonts w:asciiTheme="majorHAnsi" w:hAnsiTheme="majorHAnsi"/>
          <w:color w:val="2E7116" w:themeColor="accent3" w:themeShade="80"/>
        </w:rPr>
      </w:pPr>
      <w:r w:rsidRPr="00A42CCF">
        <w:rPr>
          <w:rFonts w:asciiTheme="majorHAnsi" w:hAnsiTheme="majorHAnsi"/>
          <w:color w:val="2E7116" w:themeColor="accent3" w:themeShade="80"/>
        </w:rPr>
        <w:t xml:space="preserve">— </w:t>
      </w:r>
      <w:r w:rsidR="00065B4C" w:rsidRPr="00A42CCF">
        <w:rPr>
          <w:rFonts w:asciiTheme="majorHAnsi" w:hAnsiTheme="majorHAnsi"/>
          <w:color w:val="2E7116" w:themeColor="accent3" w:themeShade="80"/>
        </w:rPr>
        <w:t>Investir dans la réinsertion des prisonniers pour diminuer le taux de récidivisme.</w:t>
      </w:r>
    </w:p>
    <w:p w14:paraId="4CB49300" w14:textId="77777777" w:rsidR="00091B15" w:rsidRPr="00A42CCF" w:rsidRDefault="00091B15">
      <w:pPr>
        <w:pStyle w:val="Corps"/>
        <w:rPr>
          <w:rFonts w:asciiTheme="majorHAnsi" w:hAnsiTheme="majorHAnsi"/>
        </w:rPr>
      </w:pPr>
    </w:p>
    <w:p w14:paraId="4678536C" w14:textId="77777777" w:rsidR="00091B15" w:rsidRPr="00A42CCF" w:rsidRDefault="00D537D2">
      <w:pPr>
        <w:pStyle w:val="Corps"/>
        <w:rPr>
          <w:rFonts w:asciiTheme="majorHAnsi" w:hAnsiTheme="majorHAnsi"/>
        </w:rPr>
      </w:pPr>
      <w:r w:rsidRPr="00A42CCF">
        <w:rPr>
          <w:rFonts w:asciiTheme="majorHAnsi" w:hAnsiTheme="majorHAnsi"/>
        </w:rPr>
        <w:t xml:space="preserve">Art 2 ) La création d’une prison européenne qui trouve son siège en Hongrie, un pays à l’image même de l’État de droit. </w:t>
      </w:r>
    </w:p>
    <w:p w14:paraId="6CB7083D" w14:textId="77777777" w:rsidR="00A42CCF" w:rsidRPr="00A42CCF" w:rsidRDefault="00A42CCF" w:rsidP="00A42CCF">
      <w:pPr>
        <w:pStyle w:val="Corps"/>
        <w:rPr>
          <w:rFonts w:asciiTheme="majorHAnsi" w:hAnsiTheme="majorHAnsi"/>
          <w:color w:val="00B050"/>
        </w:rPr>
      </w:pPr>
      <w:r w:rsidRPr="00A42CCF">
        <w:rPr>
          <w:rFonts w:asciiTheme="majorHAnsi" w:hAnsiTheme="majorHAnsi"/>
          <w:color w:val="00B050"/>
        </w:rPr>
        <w:t xml:space="preserve">- création d’un </w:t>
      </w:r>
      <w:proofErr w:type="gramStart"/>
      <w:r w:rsidRPr="00A42CCF">
        <w:rPr>
          <w:rFonts w:asciiTheme="majorHAnsi" w:hAnsiTheme="majorHAnsi"/>
          <w:color w:val="00B050"/>
        </w:rPr>
        <w:t>fond</w:t>
      </w:r>
      <w:proofErr w:type="gramEnd"/>
      <w:r w:rsidRPr="00A42CCF">
        <w:rPr>
          <w:rFonts w:asciiTheme="majorHAnsi" w:hAnsiTheme="majorHAnsi"/>
          <w:color w:val="00B050"/>
        </w:rPr>
        <w:t xml:space="preserve"> européen également pour les pays accueillant les prisons et prisonniers européens</w:t>
      </w:r>
    </w:p>
    <w:p w14:paraId="44C3F296" w14:textId="77777777" w:rsidR="00A42CCF" w:rsidRPr="00A42CCF" w:rsidRDefault="00A42CCF" w:rsidP="00A42CCF">
      <w:pPr>
        <w:pStyle w:val="Corps"/>
        <w:rPr>
          <w:rFonts w:asciiTheme="majorHAnsi" w:hAnsiTheme="majorHAnsi"/>
          <w:color w:val="00B050"/>
        </w:rPr>
      </w:pPr>
      <w:r w:rsidRPr="00A42CCF">
        <w:rPr>
          <w:rFonts w:asciiTheme="majorHAnsi" w:hAnsiTheme="majorHAnsi"/>
          <w:color w:val="00B050"/>
        </w:rPr>
        <w:t>- Décision de l’emplacement d’une prison européenne sur la base de la volonté d’accueil des états membres</w:t>
      </w:r>
    </w:p>
    <w:p w14:paraId="2C3E4A06" w14:textId="77777777" w:rsidR="00A42CCF" w:rsidRPr="00A42CCF" w:rsidRDefault="00A42CCF" w:rsidP="00A42CCF">
      <w:pPr>
        <w:pStyle w:val="Corps"/>
        <w:rPr>
          <w:rFonts w:asciiTheme="majorHAnsi" w:hAnsiTheme="majorHAnsi"/>
        </w:rPr>
      </w:pPr>
      <w:r w:rsidRPr="00A42CCF">
        <w:rPr>
          <w:rFonts w:asciiTheme="majorHAnsi" w:hAnsiTheme="majorHAnsi"/>
          <w:color w:val="00B050"/>
        </w:rPr>
        <w:t>- Ces prisons n’accueilleront que les prisonniers actuellement en isolement ayant commis les plus graves offenses et n’ayant plus de droit aux visites</w:t>
      </w:r>
      <w:r w:rsidRPr="00A42CCF">
        <w:rPr>
          <w:rFonts w:asciiTheme="majorHAnsi" w:hAnsiTheme="majorHAnsi"/>
        </w:rPr>
        <w:t>.</w:t>
      </w:r>
    </w:p>
    <w:p w14:paraId="112529B5" w14:textId="77777777" w:rsidR="00091B15" w:rsidRPr="00A42CCF" w:rsidRDefault="00091B15">
      <w:pPr>
        <w:pStyle w:val="Corps"/>
        <w:rPr>
          <w:rFonts w:asciiTheme="majorHAnsi" w:hAnsiTheme="majorHAnsi"/>
        </w:rPr>
      </w:pPr>
    </w:p>
    <w:p w14:paraId="14091968" w14:textId="77777777" w:rsidR="00A8514D" w:rsidRPr="00A42CCF" w:rsidRDefault="00A8514D" w:rsidP="00A8514D">
      <w:pPr>
        <w:spacing w:before="240" w:after="240"/>
        <w:rPr>
          <w:rFonts w:asciiTheme="majorHAnsi" w:hAnsiTheme="majorHAnsi"/>
          <w:color w:val="000000" w:themeColor="text1"/>
          <w:lang w:val="fr-FR"/>
        </w:rPr>
      </w:pPr>
      <w:r w:rsidRPr="00A42CCF">
        <w:rPr>
          <w:rFonts w:asciiTheme="majorHAnsi" w:hAnsiTheme="majorHAnsi"/>
          <w:color w:val="000000" w:themeColor="text1"/>
          <w:lang w:val="fr-FR"/>
        </w:rPr>
        <w:t>Art 3) Suppression des peines de prison pour le vol de bananes et de pommes.</w:t>
      </w:r>
    </w:p>
    <w:p w14:paraId="3C205F75" w14:textId="77777777" w:rsidR="00A8514D" w:rsidRPr="00A42CCF" w:rsidRDefault="00A8514D" w:rsidP="00A8514D">
      <w:pPr>
        <w:pStyle w:val="Titre4"/>
        <w:rPr>
          <w:rFonts w:asciiTheme="majorHAnsi" w:hAnsiTheme="majorHAnsi"/>
          <w:color w:val="00B050"/>
        </w:rPr>
      </w:pPr>
      <w:bookmarkStart w:id="0" w:name="_4llp5ivr7y9z" w:colFirst="0" w:colLast="0"/>
      <w:bookmarkEnd w:id="0"/>
      <w:r w:rsidRPr="00A42CCF">
        <w:rPr>
          <w:rFonts w:asciiTheme="majorHAnsi" w:hAnsiTheme="majorHAnsi"/>
          <w:color w:val="00B050"/>
        </w:rPr>
        <w:t xml:space="preserve">=&gt; Première proposition d’amendement : étant donné que le vol de bananes, ou de pommes demeure un délit qui nécessite une sanction, conserver les peines de prison pour ces vols reste nécessaire. Nous proposons cette sanction, cependant, pour les récidivistes, ou pour les vols en grande quantité seulement. </w:t>
      </w:r>
    </w:p>
    <w:p w14:paraId="40FAD994" w14:textId="77777777" w:rsidR="00A8514D" w:rsidRPr="00A42CCF" w:rsidRDefault="00A8514D" w:rsidP="00A8514D">
      <w:pPr>
        <w:rPr>
          <w:rFonts w:asciiTheme="majorHAnsi" w:hAnsiTheme="majorHAnsi"/>
          <w:color w:val="00B050"/>
          <w:lang w:val="fr-FR"/>
        </w:rPr>
      </w:pPr>
    </w:p>
    <w:p w14:paraId="59BDC591" w14:textId="31C38A8E" w:rsidR="00091B15" w:rsidRPr="00A42CCF" w:rsidRDefault="00A8514D" w:rsidP="00A42CCF">
      <w:pPr>
        <w:rPr>
          <w:rFonts w:asciiTheme="majorHAnsi" w:hAnsiTheme="majorHAnsi"/>
          <w:color w:val="00B050"/>
          <w:lang w:val="fr-FR"/>
        </w:rPr>
      </w:pPr>
      <w:r w:rsidRPr="00A42CCF">
        <w:rPr>
          <w:rFonts w:asciiTheme="majorHAnsi" w:hAnsiTheme="majorHAnsi"/>
          <w:color w:val="00B050"/>
          <w:lang w:val="fr-FR"/>
        </w:rPr>
        <w:t>=&gt; Seconde proposition d’amendement : nous proposons d’étendre la sélection à l’ensemble des fruits et légumes. La concentration sur ces deux fruits ne semble pas justifiée.</w:t>
      </w:r>
    </w:p>
    <w:sectPr w:rsidR="00091B15" w:rsidRPr="00A42CCF">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6CF4A" w14:textId="77777777" w:rsidR="00D537D2" w:rsidRDefault="00D537D2">
      <w:r>
        <w:separator/>
      </w:r>
    </w:p>
  </w:endnote>
  <w:endnote w:type="continuationSeparator" w:id="0">
    <w:p w14:paraId="611BA499" w14:textId="77777777" w:rsidR="00D537D2" w:rsidRDefault="00D5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charset w:val="00"/>
    <w:family w:val="roman"/>
    <w:pitch w:val="default"/>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A80E" w14:textId="77777777" w:rsidR="00091B15" w:rsidRDefault="00091B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F89AE" w14:textId="77777777" w:rsidR="00D537D2" w:rsidRDefault="00D537D2">
      <w:r>
        <w:separator/>
      </w:r>
    </w:p>
  </w:footnote>
  <w:footnote w:type="continuationSeparator" w:id="0">
    <w:p w14:paraId="71B34C23" w14:textId="77777777" w:rsidR="00D537D2" w:rsidRDefault="00D53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ED62" w14:textId="77777777" w:rsidR="00091B15" w:rsidRDefault="00091B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0BDB"/>
    <w:multiLevelType w:val="hybridMultilevel"/>
    <w:tmpl w:val="2EA2715E"/>
    <w:lvl w:ilvl="0" w:tplc="DBEED184">
      <w:numFmt w:val="bullet"/>
      <w:lvlText w:val="-"/>
      <w:lvlJc w:val="left"/>
      <w:pPr>
        <w:ind w:left="720" w:hanging="360"/>
      </w:pPr>
      <w:rPr>
        <w:rFonts w:ascii="Helvetica Neue" w:eastAsia="Arial Unicode MS" w:hAnsi="Helvetica Neue"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DF2AE6"/>
    <w:multiLevelType w:val="hybridMultilevel"/>
    <w:tmpl w:val="B2365612"/>
    <w:lvl w:ilvl="0" w:tplc="C47655AA">
      <w:numFmt w:val="bullet"/>
      <w:lvlText w:val="-"/>
      <w:lvlJc w:val="left"/>
      <w:pPr>
        <w:ind w:left="720" w:hanging="360"/>
      </w:pPr>
      <w:rPr>
        <w:rFonts w:ascii="Helvetica Neue" w:eastAsia="Arial Unicode MS" w:hAnsi="Helvetica Neue" w:cs="Arial Unicode MS"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4788659">
    <w:abstractNumId w:val="1"/>
  </w:num>
  <w:num w:numId="2" w16cid:durableId="184563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B15"/>
    <w:rsid w:val="00065B4C"/>
    <w:rsid w:val="00091B15"/>
    <w:rsid w:val="004A0761"/>
    <w:rsid w:val="00521071"/>
    <w:rsid w:val="00665E7E"/>
    <w:rsid w:val="00A42CCF"/>
    <w:rsid w:val="00A8514D"/>
    <w:rsid w:val="00B463FF"/>
    <w:rsid w:val="00B561BF"/>
    <w:rsid w:val="00C4504B"/>
    <w:rsid w:val="00C677CB"/>
    <w:rsid w:val="00D537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F7375"/>
  <w15:docId w15:val="{A18E3743-DBAB-45E7-B08C-E26D3C1C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4">
    <w:name w:val="heading 4"/>
    <w:basedOn w:val="Normal"/>
    <w:next w:val="Normal"/>
    <w:link w:val="Titre4Car"/>
    <w:uiPriority w:val="9"/>
    <w:unhideWhenUsed/>
    <w:qFormat/>
    <w:rsid w:val="00A8514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80" w:after="80" w:line="276" w:lineRule="auto"/>
      <w:outlineLvl w:val="3"/>
    </w:pPr>
    <w:rPr>
      <w:rFonts w:ascii="Arial" w:eastAsia="Arial" w:hAnsi="Arial" w:cs="Arial"/>
      <w:color w:val="666666"/>
      <w:bdr w:val="none" w:sz="0" w:space="0" w:color="auto"/>
      <w:lang w:val="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Titre4Car">
    <w:name w:val="Titre 4 Car"/>
    <w:basedOn w:val="Policepardfaut"/>
    <w:link w:val="Titre4"/>
    <w:uiPriority w:val="9"/>
    <w:rsid w:val="00A8514D"/>
    <w:rPr>
      <w:rFonts w:ascii="Arial" w:eastAsia="Arial" w:hAnsi="Arial" w:cs="Arial"/>
      <w:color w:val="666666"/>
      <w:sz w:val="24"/>
      <w:szCs w:val="24"/>
      <w:bdr w:val="none" w:sz="0" w:space="0" w:color="auto"/>
      <w:lang w:val="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e21e9783-d0a0-48f8-850e-0b081b46d788}" enabled="0" method="" siteId="{e21e9783-d0a0-48f8-850e-0b081b46d788}"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469</Words>
  <Characters>2583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dc:creator>
  <cp:lastModifiedBy>Damien Bouvier</cp:lastModifiedBy>
  <cp:revision>4</cp:revision>
  <dcterms:created xsi:type="dcterms:W3CDTF">2026-03-18T11:28:00Z</dcterms:created>
  <dcterms:modified xsi:type="dcterms:W3CDTF">2026-03-18T11:30:00Z</dcterms:modified>
</cp:coreProperties>
</file>