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58F4" w14:textId="77777777" w:rsidR="00B51506" w:rsidRPr="00565A15" w:rsidRDefault="00B51506" w:rsidP="001C2020">
      <w:pPr>
        <w:spacing w:after="0" w:line="240" w:lineRule="auto"/>
        <w:jc w:val="center"/>
        <w:rPr>
          <w:rFonts w:ascii="Times New Roman" w:hAnsi="Times New Roman" w:cs="Times New Roman"/>
          <w:b/>
          <w:bCs/>
          <w:sz w:val="36"/>
          <w:szCs w:val="36"/>
        </w:rPr>
      </w:pPr>
      <w:r w:rsidRPr="00565A15">
        <w:rPr>
          <w:rFonts w:ascii="Times New Roman" w:hAnsi="Times New Roman" w:cs="Times New Roman"/>
          <w:b/>
          <w:bCs/>
          <w:sz w:val="36"/>
          <w:szCs w:val="36"/>
        </w:rPr>
        <w:t>Double-Licence</w:t>
      </w:r>
    </w:p>
    <w:p w14:paraId="287D5F42" w14:textId="5EB96D5F" w:rsidR="00B51506" w:rsidRPr="00565A15" w:rsidRDefault="00B51506" w:rsidP="001C2020">
      <w:pPr>
        <w:spacing w:after="0" w:line="240" w:lineRule="auto"/>
        <w:jc w:val="center"/>
        <w:rPr>
          <w:rFonts w:ascii="Times New Roman" w:hAnsi="Times New Roman" w:cs="Times New Roman"/>
          <w:b/>
          <w:bCs/>
          <w:sz w:val="36"/>
          <w:szCs w:val="36"/>
        </w:rPr>
      </w:pPr>
      <w:r w:rsidRPr="00565A15">
        <w:rPr>
          <w:rFonts w:ascii="Times New Roman" w:hAnsi="Times New Roman" w:cs="Times New Roman"/>
          <w:b/>
          <w:bCs/>
          <w:sz w:val="36"/>
          <w:szCs w:val="36"/>
        </w:rPr>
        <w:t xml:space="preserve">Droit </w:t>
      </w:r>
      <w:r w:rsidR="00BF1FC3">
        <w:rPr>
          <w:rFonts w:ascii="Times New Roman" w:hAnsi="Times New Roman" w:cs="Times New Roman"/>
          <w:b/>
          <w:bCs/>
          <w:sz w:val="36"/>
          <w:szCs w:val="36"/>
        </w:rPr>
        <w:t>–</w:t>
      </w:r>
      <w:r w:rsidRPr="00565A15">
        <w:rPr>
          <w:rFonts w:ascii="Times New Roman" w:hAnsi="Times New Roman" w:cs="Times New Roman"/>
          <w:b/>
          <w:bCs/>
          <w:sz w:val="36"/>
          <w:szCs w:val="36"/>
        </w:rPr>
        <w:t xml:space="preserve"> LEA</w:t>
      </w:r>
      <w:r w:rsidR="00BF1FC3">
        <w:rPr>
          <w:rFonts w:ascii="Times New Roman" w:hAnsi="Times New Roman" w:cs="Times New Roman"/>
          <w:b/>
          <w:bCs/>
          <w:sz w:val="36"/>
          <w:szCs w:val="36"/>
        </w:rPr>
        <w:t xml:space="preserve"> / ESPRI</w:t>
      </w:r>
    </w:p>
    <w:p w14:paraId="0CECE527" w14:textId="77777777" w:rsidR="00551E14" w:rsidRPr="00565A15" w:rsidRDefault="00551E14" w:rsidP="00E25C35">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31"/>
        <w:gridCol w:w="4531"/>
      </w:tblGrid>
      <w:tr w:rsidR="00AE34E3" w14:paraId="17F7AD76" w14:textId="77777777" w:rsidTr="00AE34E3">
        <w:tc>
          <w:tcPr>
            <w:tcW w:w="4531" w:type="dxa"/>
          </w:tcPr>
          <w:p w14:paraId="11C51081" w14:textId="5E1B4E7F" w:rsidR="00AE34E3" w:rsidRPr="00AF6F8F" w:rsidRDefault="00AE34E3" w:rsidP="00741008">
            <w:pPr>
              <w:spacing w:after="0" w:line="240" w:lineRule="auto"/>
              <w:outlineLvl w:val="1"/>
              <w:rPr>
                <w:rFonts w:ascii="Times New Roman" w:eastAsia="Times New Roman" w:hAnsi="Times New Roman" w:cs="Times New Roman"/>
                <w:b/>
                <w:bCs/>
                <w:sz w:val="28"/>
                <w:szCs w:val="28"/>
              </w:rPr>
            </w:pPr>
            <w:r w:rsidRPr="00AF6F8F">
              <w:rPr>
                <w:rFonts w:ascii="Times New Roman" w:eastAsia="Times New Roman" w:hAnsi="Times New Roman" w:cs="Times New Roman"/>
                <w:b/>
                <w:bCs/>
                <w:sz w:val="28"/>
                <w:szCs w:val="28"/>
              </w:rPr>
              <w:t>INTITULE DU COURS</w:t>
            </w:r>
          </w:p>
        </w:tc>
        <w:tc>
          <w:tcPr>
            <w:tcW w:w="4531" w:type="dxa"/>
          </w:tcPr>
          <w:p w14:paraId="5016DBB6" w14:textId="5375EDEA" w:rsidR="00AE34E3" w:rsidRPr="000C5A8D" w:rsidRDefault="0019783F" w:rsidP="00741008">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Droit institutionnel de l’Union européenne</w:t>
            </w:r>
          </w:p>
        </w:tc>
      </w:tr>
      <w:tr w:rsidR="00AE34E3" w14:paraId="3CABCA55" w14:textId="77777777" w:rsidTr="00AE34E3">
        <w:tc>
          <w:tcPr>
            <w:tcW w:w="4531" w:type="dxa"/>
          </w:tcPr>
          <w:p w14:paraId="13C64144" w14:textId="5C202560" w:rsidR="00AE34E3" w:rsidRPr="00AF6F8F" w:rsidRDefault="00AF0D30" w:rsidP="00741008">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Semestre</w:t>
            </w:r>
          </w:p>
        </w:tc>
        <w:tc>
          <w:tcPr>
            <w:tcW w:w="4531" w:type="dxa"/>
          </w:tcPr>
          <w:p w14:paraId="37C2866D" w14:textId="03D5C284" w:rsidR="00AE34E3" w:rsidRPr="00B62DC7" w:rsidRDefault="0019783F" w:rsidP="00741008">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r>
      <w:tr w:rsidR="00AF0D30" w14:paraId="44D42B15" w14:textId="77777777" w:rsidTr="00AE34E3">
        <w:tc>
          <w:tcPr>
            <w:tcW w:w="4531" w:type="dxa"/>
          </w:tcPr>
          <w:p w14:paraId="257DE457" w14:textId="356B2FC7"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 xml:space="preserve">Enseignant </w:t>
            </w:r>
            <w:r w:rsidRPr="00FB383C">
              <w:rPr>
                <w:rFonts w:ascii="Times New Roman" w:eastAsia="Times New Roman" w:hAnsi="Times New Roman" w:cs="Times New Roman"/>
                <w:sz w:val="24"/>
                <w:szCs w:val="24"/>
              </w:rPr>
              <w:t>(</w:t>
            </w:r>
            <w:r w:rsidRPr="00FB383C">
              <w:rPr>
                <w:rFonts w:ascii="Times New Roman" w:eastAsia="Times New Roman" w:hAnsi="Times New Roman" w:cs="Times New Roman"/>
                <w:i/>
                <w:iCs/>
                <w:sz w:val="24"/>
                <w:szCs w:val="24"/>
              </w:rPr>
              <w:t>NOM, prénom</w:t>
            </w:r>
            <w:r w:rsidR="00EE2461" w:rsidRPr="00FB383C">
              <w:rPr>
                <w:rFonts w:ascii="Times New Roman" w:eastAsia="Times New Roman" w:hAnsi="Times New Roman" w:cs="Times New Roman"/>
                <w:i/>
                <w:iCs/>
                <w:sz w:val="24"/>
                <w:szCs w:val="24"/>
              </w:rPr>
              <w:t>, co</w:t>
            </w:r>
            <w:r w:rsidR="00FB383C">
              <w:rPr>
                <w:rFonts w:ascii="Times New Roman" w:eastAsia="Times New Roman" w:hAnsi="Times New Roman" w:cs="Times New Roman"/>
                <w:i/>
                <w:iCs/>
                <w:sz w:val="24"/>
                <w:szCs w:val="24"/>
              </w:rPr>
              <w:t>urriel</w:t>
            </w:r>
            <w:r w:rsidRPr="00FB383C">
              <w:rPr>
                <w:rFonts w:ascii="Times New Roman" w:eastAsia="Times New Roman" w:hAnsi="Times New Roman" w:cs="Times New Roman"/>
                <w:sz w:val="24"/>
                <w:szCs w:val="24"/>
              </w:rPr>
              <w:t>)</w:t>
            </w:r>
          </w:p>
        </w:tc>
        <w:tc>
          <w:tcPr>
            <w:tcW w:w="4531" w:type="dxa"/>
          </w:tcPr>
          <w:p w14:paraId="69AD9FB1" w14:textId="39192F32" w:rsidR="00AF0D30" w:rsidRPr="00B62DC7" w:rsidRDefault="0019783F" w:rsidP="00AF0D30">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Damien BOUVIER</w:t>
            </w:r>
          </w:p>
        </w:tc>
      </w:tr>
      <w:tr w:rsidR="00EE2461" w14:paraId="6E0B40CB" w14:textId="77777777" w:rsidTr="00151533">
        <w:tc>
          <w:tcPr>
            <w:tcW w:w="9062" w:type="dxa"/>
            <w:gridSpan w:val="2"/>
          </w:tcPr>
          <w:p w14:paraId="1359908E" w14:textId="77777777" w:rsidR="00EE2461" w:rsidRPr="00B62DC7" w:rsidRDefault="00EE2461" w:rsidP="00AF0D30">
            <w:pPr>
              <w:spacing w:after="0" w:line="240" w:lineRule="auto"/>
              <w:outlineLvl w:val="1"/>
              <w:rPr>
                <w:rFonts w:ascii="Times New Roman" w:eastAsia="Times New Roman" w:hAnsi="Times New Roman" w:cs="Times New Roman"/>
                <w:sz w:val="24"/>
                <w:szCs w:val="24"/>
              </w:rPr>
            </w:pPr>
          </w:p>
        </w:tc>
      </w:tr>
      <w:tr w:rsidR="00AF0D30" w14:paraId="29662702" w14:textId="77777777" w:rsidTr="00AE34E3">
        <w:tc>
          <w:tcPr>
            <w:tcW w:w="4531" w:type="dxa"/>
          </w:tcPr>
          <w:p w14:paraId="40C1A834" w14:textId="46A5A072"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Objectifs du cours</w:t>
            </w:r>
          </w:p>
        </w:tc>
        <w:tc>
          <w:tcPr>
            <w:tcW w:w="4531" w:type="dxa"/>
          </w:tcPr>
          <w:p w14:paraId="605EA17D" w14:textId="645D0EBD" w:rsidR="00AF6F8F" w:rsidRPr="00597C72" w:rsidRDefault="0098128E" w:rsidP="001C7CCC">
            <w:pPr>
              <w:spacing w:after="120" w:line="240" w:lineRule="auto"/>
              <w:jc w:val="both"/>
              <w:outlineLvl w:val="1"/>
              <w:rPr>
                <w:rFonts w:ascii="Times New Roman" w:eastAsia="Times New Roman" w:hAnsi="Times New Roman" w:cs="Times New Roman"/>
                <w:sz w:val="24"/>
                <w:szCs w:val="24"/>
              </w:rPr>
            </w:pPr>
            <w:r w:rsidRPr="00597C72">
              <w:rPr>
                <w:rFonts w:ascii="Times New Roman" w:eastAsia="Calibri" w:hAnsi="Times New Roman" w:cs="Times New Roman"/>
                <w:sz w:val="24"/>
                <w:szCs w:val="24"/>
              </w:rPr>
              <w:t>L’objectif du cours est de familiariser les étudiants avec le fonctionnement des institutions européennes. A la fin du cours, les étudiants seront capables d’identifier les principaux acteurs institutionnels participant à la vie politique de l’Union européenne. Ils connaîtront le cadre juridique des actions des institutions européennes (composition des organes, compétence) mais auront également une connaissance de la pratique institutionnelle du pouvoir politique européen. Enfin, ils seront capables de restituer la spécificité de l’Union européenne en tant que modèle politique.</w:t>
            </w:r>
          </w:p>
        </w:tc>
      </w:tr>
      <w:tr w:rsidR="00AF0D30" w14:paraId="7FC05F03" w14:textId="77777777" w:rsidTr="00AE34E3">
        <w:tc>
          <w:tcPr>
            <w:tcW w:w="4531" w:type="dxa"/>
          </w:tcPr>
          <w:p w14:paraId="4EF32F19" w14:textId="5B353F28"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Plan sommaire</w:t>
            </w:r>
          </w:p>
        </w:tc>
        <w:tc>
          <w:tcPr>
            <w:tcW w:w="4531" w:type="dxa"/>
          </w:tcPr>
          <w:p w14:paraId="5521B588" w14:textId="77777777" w:rsidR="00C6649B" w:rsidRPr="00C6649B" w:rsidRDefault="00C6649B" w:rsidP="00136FE0">
            <w:pPr>
              <w:spacing w:after="0" w:line="259" w:lineRule="auto"/>
              <w:rPr>
                <w:rFonts w:ascii="Times New Roman" w:eastAsia="Calibri" w:hAnsi="Times New Roman" w:cs="Times New Roman"/>
                <w:b/>
                <w:bCs/>
                <w:sz w:val="24"/>
                <w:szCs w:val="24"/>
              </w:rPr>
            </w:pPr>
            <w:r w:rsidRPr="00C6649B">
              <w:rPr>
                <w:rFonts w:ascii="Times New Roman" w:eastAsia="Calibri" w:hAnsi="Times New Roman" w:cs="Times New Roman"/>
                <w:b/>
                <w:bCs/>
                <w:sz w:val="24"/>
                <w:szCs w:val="24"/>
              </w:rPr>
              <w:t>Introduction générale</w:t>
            </w:r>
          </w:p>
          <w:p w14:paraId="31889384" w14:textId="2B9EA525" w:rsidR="00382EEC" w:rsidRPr="00C6649B" w:rsidRDefault="00382EEC" w:rsidP="00382EEC">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 : la spécificité de l’Union européenne</w:t>
            </w:r>
          </w:p>
          <w:p w14:paraId="5F900EB6" w14:textId="77777777" w:rsidR="00382EEC" w:rsidRPr="00C6649B" w:rsidRDefault="00382EEC" w:rsidP="00382EEC">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une union d’Etats</w:t>
            </w:r>
          </w:p>
          <w:p w14:paraId="34913B34" w14:textId="77777777" w:rsidR="00382EEC" w:rsidRPr="00C6649B" w:rsidRDefault="00382EEC" w:rsidP="00382EEC">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une union de droit</w:t>
            </w:r>
          </w:p>
          <w:p w14:paraId="4361CE9C" w14:textId="429900A0" w:rsidR="00382EEC" w:rsidRDefault="00382EEC" w:rsidP="00382EEC">
            <w:pPr>
              <w:spacing w:after="0" w:line="259" w:lineRule="auto"/>
              <w:rPr>
                <w:rFonts w:ascii="Times New Roman" w:eastAsia="Calibri" w:hAnsi="Times New Roman" w:cs="Times New Roman"/>
                <w:b/>
                <w:bCs/>
                <w:sz w:val="24"/>
                <w:szCs w:val="24"/>
                <w:lang w:val="fr-CH"/>
              </w:rPr>
            </w:pPr>
            <w:r w:rsidRPr="00597C72">
              <w:rPr>
                <w:rFonts w:ascii="Times New Roman" w:eastAsia="Calibri" w:hAnsi="Times New Roman" w:cs="Times New Roman"/>
                <w:sz w:val="24"/>
                <w:szCs w:val="24"/>
                <w:lang w:val="fr-CH"/>
              </w:rPr>
              <w:t>Titre III : une union de citoyens</w:t>
            </w:r>
          </w:p>
          <w:p w14:paraId="093E144D" w14:textId="0032455A" w:rsidR="00C6649B" w:rsidRPr="00C6649B" w:rsidRDefault="00C6649B" w:rsidP="00C6649B">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w:t>
            </w:r>
            <w:r w:rsidR="00382EEC">
              <w:rPr>
                <w:rFonts w:ascii="Times New Roman" w:eastAsia="Calibri" w:hAnsi="Times New Roman" w:cs="Times New Roman"/>
                <w:b/>
                <w:bCs/>
                <w:sz w:val="24"/>
                <w:szCs w:val="24"/>
                <w:lang w:val="fr-CH"/>
              </w:rPr>
              <w:t>I</w:t>
            </w:r>
            <w:r w:rsidRPr="00C6649B">
              <w:rPr>
                <w:rFonts w:ascii="Times New Roman" w:eastAsia="Calibri" w:hAnsi="Times New Roman" w:cs="Times New Roman"/>
                <w:b/>
                <w:bCs/>
                <w:sz w:val="24"/>
                <w:szCs w:val="24"/>
                <w:lang w:val="fr-CH"/>
              </w:rPr>
              <w:t> : Le cadre institutionnel de l’Union européenne</w:t>
            </w:r>
          </w:p>
          <w:p w14:paraId="2D9D850C"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les institutions politiques</w:t>
            </w:r>
          </w:p>
          <w:p w14:paraId="0F05E43F"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les institutions de contrôle</w:t>
            </w:r>
          </w:p>
          <w:p w14:paraId="7011F1EB" w14:textId="77777777" w:rsidR="00C6649B" w:rsidRPr="00C6649B" w:rsidRDefault="00C6649B" w:rsidP="00136FE0">
            <w:pPr>
              <w:spacing w:after="0" w:line="259" w:lineRule="auto"/>
              <w:ind w:left="709"/>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III : les autres institutions</w:t>
            </w:r>
          </w:p>
          <w:p w14:paraId="7B7AA493" w14:textId="77777777" w:rsidR="00C6649B" w:rsidRPr="00C6649B" w:rsidRDefault="00C6649B" w:rsidP="00C6649B">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II : le processus décisionnel de l’Union européenne</w:t>
            </w:r>
          </w:p>
          <w:p w14:paraId="2B08A44C"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la procédure législative</w:t>
            </w:r>
          </w:p>
          <w:p w14:paraId="0593CC0F" w14:textId="77777777" w:rsidR="00C6649B" w:rsidRPr="00C6649B" w:rsidRDefault="00C6649B" w:rsidP="00136FE0">
            <w:pPr>
              <w:spacing w:after="0" w:line="259" w:lineRule="auto"/>
              <w:ind w:left="709"/>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la procédure budgétaire</w:t>
            </w:r>
          </w:p>
          <w:p w14:paraId="6262B4D6" w14:textId="43410C7B" w:rsidR="00AF6F8F" w:rsidRPr="00C6649B" w:rsidRDefault="00AF6F8F" w:rsidP="001C7CCC">
            <w:pPr>
              <w:spacing w:after="120" w:line="240" w:lineRule="auto"/>
              <w:ind w:left="709"/>
              <w:outlineLvl w:val="1"/>
              <w:rPr>
                <w:rFonts w:ascii="Times New Roman" w:eastAsia="Times New Roman" w:hAnsi="Times New Roman" w:cs="Times New Roman"/>
                <w:sz w:val="24"/>
                <w:szCs w:val="24"/>
              </w:rPr>
            </w:pPr>
          </w:p>
        </w:tc>
      </w:tr>
      <w:tr w:rsidR="00AF0D30" w14:paraId="4E52BB48" w14:textId="77777777" w:rsidTr="00AE34E3">
        <w:tc>
          <w:tcPr>
            <w:tcW w:w="4531" w:type="dxa"/>
          </w:tcPr>
          <w:p w14:paraId="1209FE2A" w14:textId="482646AE" w:rsidR="00AF0D30" w:rsidRPr="00AF6F8F" w:rsidRDefault="00AF6F8F"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 xml:space="preserve">Bibliographie </w:t>
            </w:r>
          </w:p>
        </w:tc>
        <w:tc>
          <w:tcPr>
            <w:tcW w:w="4531" w:type="dxa"/>
          </w:tcPr>
          <w:p w14:paraId="5E7DE24F" w14:textId="77777777" w:rsidR="00597C72" w:rsidRPr="00597C72" w:rsidRDefault="00597C72" w:rsidP="00597C72">
            <w:pPr>
              <w:spacing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Manuels</w:t>
            </w:r>
          </w:p>
          <w:p w14:paraId="1E5FCAB1" w14:textId="2AA8C249"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97C72" w:rsidRPr="00597C72">
              <w:rPr>
                <w:rFonts w:ascii="Times New Roman" w:eastAsia="Times New Roman" w:hAnsi="Times New Roman" w:cs="Times New Roman"/>
                <w:sz w:val="24"/>
                <w:szCs w:val="24"/>
              </w:rPr>
              <w:t xml:space="preserve">F. MARTUCCI, </w:t>
            </w:r>
            <w:r w:rsidR="00597C72" w:rsidRPr="00597C72">
              <w:rPr>
                <w:rFonts w:ascii="Times New Roman" w:eastAsia="Times New Roman" w:hAnsi="Times New Roman" w:cs="Times New Roman"/>
                <w:i/>
                <w:iCs/>
                <w:sz w:val="24"/>
                <w:szCs w:val="24"/>
              </w:rPr>
              <w:t>Droit de l’Union européenne</w:t>
            </w:r>
            <w:r w:rsidR="00597C72" w:rsidRPr="00597C72">
              <w:rPr>
                <w:rFonts w:ascii="Times New Roman" w:eastAsia="Times New Roman" w:hAnsi="Times New Roman" w:cs="Times New Roman"/>
                <w:sz w:val="24"/>
                <w:szCs w:val="24"/>
              </w:rPr>
              <w:t>, Paris, Dalloz, 202</w:t>
            </w:r>
            <w:r w:rsidR="00762B34">
              <w:rPr>
                <w:rFonts w:ascii="Times New Roman" w:eastAsia="Times New Roman" w:hAnsi="Times New Roman" w:cs="Times New Roman"/>
                <w:sz w:val="24"/>
                <w:szCs w:val="24"/>
              </w:rPr>
              <w:t>5</w:t>
            </w:r>
            <w:r w:rsidR="00597C72" w:rsidRPr="00597C72">
              <w:rPr>
                <w:rFonts w:ascii="Times New Roman" w:eastAsia="Times New Roman" w:hAnsi="Times New Roman" w:cs="Times New Roman"/>
                <w:sz w:val="24"/>
                <w:szCs w:val="24"/>
              </w:rPr>
              <w:t xml:space="preserve">, Hypercours, </w:t>
            </w:r>
            <w:r w:rsidR="00762B34">
              <w:rPr>
                <w:rFonts w:ascii="Times New Roman" w:eastAsia="Times New Roman" w:hAnsi="Times New Roman" w:cs="Times New Roman"/>
                <w:sz w:val="24"/>
                <w:szCs w:val="24"/>
              </w:rPr>
              <w:t>4</w:t>
            </w:r>
            <w:r w:rsidR="00597C72" w:rsidRPr="00610C5F">
              <w:rPr>
                <w:rFonts w:ascii="Times New Roman" w:eastAsia="Times New Roman" w:hAnsi="Times New Roman" w:cs="Times New Roman"/>
                <w:sz w:val="24"/>
                <w:szCs w:val="24"/>
                <w:vertAlign w:val="superscript"/>
              </w:rPr>
              <w:t>ème</w:t>
            </w:r>
            <w:r w:rsidR="00597C72" w:rsidRPr="00597C72">
              <w:rPr>
                <w:rFonts w:ascii="Times New Roman" w:eastAsia="Times New Roman" w:hAnsi="Times New Roman" w:cs="Times New Roman"/>
                <w:sz w:val="24"/>
                <w:szCs w:val="24"/>
              </w:rPr>
              <w:t xml:space="preserve"> ed.</w:t>
            </w:r>
          </w:p>
          <w:p w14:paraId="5BEFA18B" w14:textId="5760F41B"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597C72" w:rsidRPr="00597C72">
              <w:rPr>
                <w:rFonts w:ascii="Times New Roman" w:eastAsia="Times New Roman" w:hAnsi="Times New Roman" w:cs="Times New Roman"/>
                <w:sz w:val="24"/>
                <w:szCs w:val="24"/>
              </w:rPr>
              <w:t xml:space="preserve">C. BLUMANN, </w:t>
            </w:r>
            <w:r w:rsidR="00597C72" w:rsidRPr="00597C72">
              <w:rPr>
                <w:rFonts w:ascii="Times New Roman" w:eastAsia="Times New Roman" w:hAnsi="Times New Roman" w:cs="Times New Roman"/>
                <w:i/>
                <w:iCs/>
                <w:sz w:val="24"/>
                <w:szCs w:val="24"/>
              </w:rPr>
              <w:t>Doit institutionnel de l’Union européenne</w:t>
            </w:r>
            <w:r w:rsidR="00597C72" w:rsidRPr="00597C72">
              <w:rPr>
                <w:rFonts w:ascii="Times New Roman" w:eastAsia="Times New Roman" w:hAnsi="Times New Roman" w:cs="Times New Roman"/>
                <w:sz w:val="24"/>
                <w:szCs w:val="24"/>
              </w:rPr>
              <w:t>, Paris, LexisNexis, 20</w:t>
            </w:r>
            <w:r w:rsidR="00E56EAB">
              <w:rPr>
                <w:rFonts w:ascii="Times New Roman" w:eastAsia="Times New Roman" w:hAnsi="Times New Roman" w:cs="Times New Roman"/>
                <w:sz w:val="24"/>
                <w:szCs w:val="24"/>
              </w:rPr>
              <w:t>22</w:t>
            </w:r>
            <w:r w:rsidR="00597C72" w:rsidRPr="00597C72">
              <w:rPr>
                <w:rFonts w:ascii="Times New Roman" w:eastAsia="Times New Roman" w:hAnsi="Times New Roman" w:cs="Times New Roman"/>
                <w:sz w:val="24"/>
                <w:szCs w:val="24"/>
              </w:rPr>
              <w:t>, 7</w:t>
            </w:r>
            <w:r w:rsidR="00597C72" w:rsidRPr="002E4BCE">
              <w:rPr>
                <w:rFonts w:ascii="Times New Roman" w:eastAsia="Times New Roman" w:hAnsi="Times New Roman" w:cs="Times New Roman"/>
                <w:sz w:val="24"/>
                <w:szCs w:val="24"/>
                <w:vertAlign w:val="superscript"/>
              </w:rPr>
              <w:t>ème</w:t>
            </w:r>
            <w:r w:rsidR="00597C72" w:rsidRPr="00597C72">
              <w:rPr>
                <w:rFonts w:ascii="Times New Roman" w:eastAsia="Times New Roman" w:hAnsi="Times New Roman" w:cs="Times New Roman"/>
                <w:sz w:val="24"/>
                <w:szCs w:val="24"/>
              </w:rPr>
              <w:t xml:space="preserve"> éd.</w:t>
            </w:r>
          </w:p>
          <w:p w14:paraId="13154903" w14:textId="40E8934A"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97C72" w:rsidRPr="00597C72">
              <w:rPr>
                <w:rFonts w:ascii="Times New Roman" w:eastAsia="Times New Roman" w:hAnsi="Times New Roman" w:cs="Times New Roman"/>
                <w:sz w:val="24"/>
                <w:szCs w:val="24"/>
              </w:rPr>
              <w:t xml:space="preserve">J.-P. JACQUE, </w:t>
            </w:r>
            <w:r w:rsidR="00597C72" w:rsidRPr="00597C72">
              <w:rPr>
                <w:rFonts w:ascii="Times New Roman" w:eastAsia="Times New Roman" w:hAnsi="Times New Roman" w:cs="Times New Roman"/>
                <w:i/>
                <w:iCs/>
                <w:sz w:val="24"/>
                <w:szCs w:val="24"/>
              </w:rPr>
              <w:t>Droit institutionnel de l’Union européenne</w:t>
            </w:r>
            <w:r w:rsidR="00597C72" w:rsidRPr="00597C72">
              <w:rPr>
                <w:rFonts w:ascii="Times New Roman" w:eastAsia="Times New Roman" w:hAnsi="Times New Roman" w:cs="Times New Roman"/>
                <w:sz w:val="24"/>
                <w:szCs w:val="24"/>
              </w:rPr>
              <w:t>, Paris, Dalloz, 20</w:t>
            </w:r>
            <w:r w:rsidR="002E4BCE">
              <w:rPr>
                <w:rFonts w:ascii="Times New Roman" w:eastAsia="Times New Roman" w:hAnsi="Times New Roman" w:cs="Times New Roman"/>
                <w:sz w:val="24"/>
                <w:szCs w:val="24"/>
              </w:rPr>
              <w:t>23</w:t>
            </w:r>
            <w:r w:rsidR="00597C72" w:rsidRPr="00597C72">
              <w:rPr>
                <w:rFonts w:ascii="Times New Roman" w:eastAsia="Times New Roman" w:hAnsi="Times New Roman" w:cs="Times New Roman"/>
                <w:sz w:val="24"/>
                <w:szCs w:val="24"/>
              </w:rPr>
              <w:t xml:space="preserve">, </w:t>
            </w:r>
            <w:r w:rsidR="002E4BCE">
              <w:rPr>
                <w:rFonts w:ascii="Times New Roman" w:eastAsia="Times New Roman" w:hAnsi="Times New Roman" w:cs="Times New Roman"/>
                <w:sz w:val="24"/>
                <w:szCs w:val="24"/>
              </w:rPr>
              <w:t>10</w:t>
            </w:r>
            <w:r w:rsidR="00597C72" w:rsidRPr="002E4BCE">
              <w:rPr>
                <w:rFonts w:ascii="Times New Roman" w:eastAsia="Times New Roman" w:hAnsi="Times New Roman" w:cs="Times New Roman"/>
                <w:sz w:val="24"/>
                <w:szCs w:val="24"/>
                <w:vertAlign w:val="superscript"/>
              </w:rPr>
              <w:t>ème</w:t>
            </w:r>
            <w:r w:rsidR="00597C72" w:rsidRPr="00597C72">
              <w:rPr>
                <w:rFonts w:ascii="Times New Roman" w:eastAsia="Times New Roman" w:hAnsi="Times New Roman" w:cs="Times New Roman"/>
                <w:sz w:val="24"/>
                <w:szCs w:val="24"/>
              </w:rPr>
              <w:t xml:space="preserve"> éd</w:t>
            </w:r>
          </w:p>
          <w:p w14:paraId="329EA0B4" w14:textId="77777777" w:rsidR="00597C72" w:rsidRPr="00597C72" w:rsidRDefault="00597C72" w:rsidP="009B0B7C">
            <w:pPr>
              <w:spacing w:before="120"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Revues</w:t>
            </w:r>
          </w:p>
          <w:p w14:paraId="0A87DE1A" w14:textId="59D5E5BF" w:rsidR="00597C72" w:rsidRPr="00141385" w:rsidRDefault="00141385" w:rsidP="00141385">
            <w:pPr>
              <w:spacing w:after="0" w:line="240" w:lineRule="auto"/>
              <w:outlineLvl w:val="1"/>
              <w:rPr>
                <w:rFonts w:ascii="Times New Roman" w:eastAsia="Times New Roman" w:hAnsi="Times New Roman" w:cs="Times New Roman"/>
                <w:sz w:val="24"/>
                <w:szCs w:val="24"/>
              </w:rPr>
            </w:pPr>
            <w:r w:rsidRPr="00141385">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 xml:space="preserve"> </w:t>
            </w:r>
            <w:r w:rsidR="00597C72" w:rsidRPr="00141385">
              <w:rPr>
                <w:rFonts w:ascii="Times New Roman" w:eastAsia="Times New Roman" w:hAnsi="Times New Roman" w:cs="Times New Roman"/>
                <w:i/>
                <w:iCs/>
                <w:sz w:val="24"/>
                <w:szCs w:val="24"/>
              </w:rPr>
              <w:t>Europe</w:t>
            </w:r>
            <w:r w:rsidR="00597C72" w:rsidRPr="00141385">
              <w:rPr>
                <w:rFonts w:ascii="Times New Roman" w:eastAsia="Times New Roman" w:hAnsi="Times New Roman" w:cs="Times New Roman"/>
                <w:sz w:val="24"/>
                <w:szCs w:val="24"/>
              </w:rPr>
              <w:t xml:space="preserve"> (Lexis Nexis)</w:t>
            </w:r>
          </w:p>
          <w:p w14:paraId="19605494" w14:textId="1489EFD2" w:rsidR="00597C72" w:rsidRPr="00597C72" w:rsidRDefault="00141385" w:rsidP="00597C72">
            <w:pPr>
              <w:spacing w:after="0" w:line="240" w:lineRule="auto"/>
              <w:outlineLvl w:val="1"/>
              <w:rPr>
                <w:rFonts w:ascii="Times New Roman" w:eastAsia="Times New Roman" w:hAnsi="Times New Roman" w:cs="Times New Roman"/>
                <w:sz w:val="24"/>
                <w:szCs w:val="24"/>
              </w:rPr>
            </w:pPr>
            <w:r w:rsidRPr="00141385">
              <w:rPr>
                <w:rFonts w:ascii="Times New Roman" w:eastAsia="Times New Roman" w:hAnsi="Times New Roman" w:cs="Times New Roman"/>
                <w:sz w:val="24"/>
                <w:szCs w:val="24"/>
              </w:rPr>
              <w:t>2.</w:t>
            </w:r>
            <w:r>
              <w:rPr>
                <w:rFonts w:ascii="Times New Roman" w:eastAsia="Times New Roman" w:hAnsi="Times New Roman" w:cs="Times New Roman"/>
                <w:i/>
                <w:iCs/>
                <w:sz w:val="24"/>
                <w:szCs w:val="24"/>
              </w:rPr>
              <w:t xml:space="preserve"> </w:t>
            </w:r>
            <w:r w:rsidR="00597C72" w:rsidRPr="00597C72">
              <w:rPr>
                <w:rFonts w:ascii="Times New Roman" w:eastAsia="Times New Roman" w:hAnsi="Times New Roman" w:cs="Times New Roman"/>
                <w:i/>
                <w:iCs/>
                <w:sz w:val="24"/>
                <w:szCs w:val="24"/>
              </w:rPr>
              <w:t>Revue trimestrielle de droit européen</w:t>
            </w:r>
            <w:r w:rsidR="00597C72" w:rsidRPr="00597C72">
              <w:rPr>
                <w:rFonts w:ascii="Times New Roman" w:eastAsia="Times New Roman" w:hAnsi="Times New Roman" w:cs="Times New Roman"/>
                <w:sz w:val="24"/>
                <w:szCs w:val="24"/>
              </w:rPr>
              <w:t xml:space="preserve"> (Dalloz)</w:t>
            </w:r>
          </w:p>
          <w:p w14:paraId="1F997009" w14:textId="77777777" w:rsidR="00597C72" w:rsidRPr="00597C72" w:rsidRDefault="00597C72" w:rsidP="009B0B7C">
            <w:pPr>
              <w:spacing w:before="120"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Sites internet</w:t>
            </w:r>
          </w:p>
          <w:p w14:paraId="5C6BBA92" w14:textId="087C1C1C" w:rsidR="00597C72" w:rsidRPr="006F0E69" w:rsidRDefault="006F0E69" w:rsidP="006F0E69">
            <w:pPr>
              <w:spacing w:after="0" w:line="240" w:lineRule="auto"/>
              <w:outlineLvl w:val="1"/>
              <w:rPr>
                <w:rFonts w:ascii="Times New Roman" w:eastAsia="Times New Roman" w:hAnsi="Times New Roman" w:cs="Times New Roman"/>
                <w:sz w:val="24"/>
                <w:szCs w:val="24"/>
              </w:rPr>
            </w:pPr>
            <w:r w:rsidRPr="006F0E6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97C72" w:rsidRPr="006F0E69">
              <w:rPr>
                <w:rFonts w:ascii="Times New Roman" w:eastAsia="Times New Roman" w:hAnsi="Times New Roman" w:cs="Times New Roman"/>
                <w:sz w:val="24"/>
                <w:szCs w:val="24"/>
              </w:rPr>
              <w:t>Fondation Robert Schuman</w:t>
            </w:r>
            <w:r w:rsidRPr="006F0E69">
              <w:rPr>
                <w:rFonts w:ascii="Times New Roman" w:eastAsia="Times New Roman" w:hAnsi="Times New Roman" w:cs="Times New Roman"/>
                <w:sz w:val="24"/>
                <w:szCs w:val="24"/>
              </w:rPr>
              <w:t xml:space="preserve"> : </w:t>
            </w:r>
            <w:hyperlink r:id="rId7" w:history="1">
              <w:r w:rsidR="00597C72" w:rsidRPr="00922213">
                <w:rPr>
                  <w:rStyle w:val="Lienhypertexte"/>
                  <w:rFonts w:ascii="Times New Roman" w:eastAsia="Times New Roman" w:hAnsi="Times New Roman" w:cs="Times New Roman"/>
                  <w:sz w:val="24"/>
                  <w:szCs w:val="24"/>
                </w:rPr>
                <w:t>https://www.robert-schuman.eu/fr/</w:t>
              </w:r>
            </w:hyperlink>
          </w:p>
          <w:p w14:paraId="24683F57" w14:textId="7002F9FA" w:rsidR="00EE2461" w:rsidRPr="00B62DC7" w:rsidRDefault="006F0E69"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97C72" w:rsidRPr="00597C72">
              <w:rPr>
                <w:rFonts w:ascii="Times New Roman" w:eastAsia="Times New Roman" w:hAnsi="Times New Roman" w:cs="Times New Roman"/>
                <w:sz w:val="24"/>
                <w:szCs w:val="24"/>
              </w:rPr>
              <w:t xml:space="preserve">Site officiel de l’UE : </w:t>
            </w:r>
            <w:hyperlink r:id="rId8" w:history="1">
              <w:r w:rsidR="00597C72" w:rsidRPr="00923E7B">
                <w:rPr>
                  <w:rStyle w:val="Lienhypertexte"/>
                  <w:rFonts w:ascii="Times New Roman" w:eastAsia="Times New Roman" w:hAnsi="Times New Roman" w:cs="Times New Roman"/>
                  <w:sz w:val="24"/>
                  <w:szCs w:val="24"/>
                </w:rPr>
                <w:t>europa.eu</w:t>
              </w:r>
            </w:hyperlink>
          </w:p>
        </w:tc>
      </w:tr>
      <w:tr w:rsidR="00AF0D30" w14:paraId="055F7D9E" w14:textId="77777777" w:rsidTr="00AE34E3">
        <w:tc>
          <w:tcPr>
            <w:tcW w:w="4531" w:type="dxa"/>
          </w:tcPr>
          <w:p w14:paraId="56E7885B" w14:textId="3A415A50" w:rsidR="00AF0D30" w:rsidRPr="00AF6F8F" w:rsidRDefault="00A3014B" w:rsidP="00A3014B">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Compétences acquises</w:t>
            </w:r>
          </w:p>
        </w:tc>
        <w:tc>
          <w:tcPr>
            <w:tcW w:w="4531" w:type="dxa"/>
          </w:tcPr>
          <w:p w14:paraId="48ECC170" w14:textId="2BD3978B" w:rsidR="0093459C" w:rsidRPr="0093459C" w:rsidRDefault="0093459C" w:rsidP="001C7CCC">
            <w:pPr>
              <w:spacing w:after="120" w:line="240" w:lineRule="auto"/>
              <w:outlineLvl w:val="1"/>
              <w:rPr>
                <w:rFonts w:ascii="Times New Roman" w:eastAsia="Times New Roman" w:hAnsi="Times New Roman" w:cs="Times New Roman"/>
                <w:sz w:val="24"/>
                <w:szCs w:val="24"/>
              </w:rPr>
            </w:pPr>
            <w:r w:rsidRPr="009345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3459C">
              <w:rPr>
                <w:rFonts w:ascii="Times New Roman" w:eastAsia="Times New Roman" w:hAnsi="Times New Roman" w:cs="Times New Roman"/>
                <w:b/>
                <w:bCs/>
                <w:sz w:val="24"/>
                <w:szCs w:val="24"/>
              </w:rPr>
              <w:t>Identifier</w:t>
            </w:r>
            <w:r w:rsidRPr="0093459C">
              <w:rPr>
                <w:rFonts w:ascii="Times New Roman" w:eastAsia="Times New Roman" w:hAnsi="Times New Roman" w:cs="Times New Roman"/>
                <w:sz w:val="24"/>
                <w:szCs w:val="24"/>
              </w:rPr>
              <w:t xml:space="preserve"> chaque institution européenne</w:t>
            </w:r>
          </w:p>
          <w:p w14:paraId="3DC5BAFE" w14:textId="600D46E9" w:rsidR="0093459C" w:rsidRPr="0093459C" w:rsidRDefault="0093459C"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3459C">
              <w:rPr>
                <w:rFonts w:ascii="Times New Roman" w:eastAsia="Times New Roman" w:hAnsi="Times New Roman" w:cs="Times New Roman"/>
                <w:b/>
                <w:bCs/>
                <w:sz w:val="24"/>
                <w:szCs w:val="24"/>
              </w:rPr>
              <w:t>Savoir restituer</w:t>
            </w:r>
            <w:r w:rsidRPr="0093459C">
              <w:rPr>
                <w:rFonts w:ascii="Times New Roman" w:eastAsia="Times New Roman" w:hAnsi="Times New Roman" w:cs="Times New Roman"/>
                <w:sz w:val="24"/>
                <w:szCs w:val="24"/>
              </w:rPr>
              <w:t xml:space="preserve"> le cadre institutionnel théorique et pratique de l’Union européenne</w:t>
            </w:r>
          </w:p>
          <w:p w14:paraId="0B66E4AD" w14:textId="3C508B55" w:rsidR="00A3014B" w:rsidRPr="00EE2461" w:rsidRDefault="0093459C"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3459C">
              <w:rPr>
                <w:rFonts w:ascii="Times New Roman" w:eastAsia="Times New Roman" w:hAnsi="Times New Roman" w:cs="Times New Roman"/>
                <w:b/>
                <w:bCs/>
                <w:sz w:val="24"/>
                <w:szCs w:val="24"/>
              </w:rPr>
              <w:t>Proposer une analyse</w:t>
            </w:r>
            <w:r w:rsidRPr="0093459C">
              <w:rPr>
                <w:rFonts w:ascii="Times New Roman" w:eastAsia="Times New Roman" w:hAnsi="Times New Roman" w:cs="Times New Roman"/>
                <w:sz w:val="24"/>
                <w:szCs w:val="24"/>
              </w:rPr>
              <w:t xml:space="preserve"> du fonctionnement institutionnel de l’Union européenne</w:t>
            </w:r>
          </w:p>
        </w:tc>
      </w:tr>
      <w:tr w:rsidR="00EE2461" w14:paraId="05A0FC64" w14:textId="77777777" w:rsidTr="00482BBD">
        <w:tc>
          <w:tcPr>
            <w:tcW w:w="9062" w:type="dxa"/>
            <w:gridSpan w:val="2"/>
          </w:tcPr>
          <w:p w14:paraId="0DAB7480" w14:textId="77777777" w:rsidR="00EE2461" w:rsidRDefault="00EE2461" w:rsidP="00AF0D30">
            <w:pPr>
              <w:spacing w:after="0" w:line="240" w:lineRule="auto"/>
              <w:outlineLvl w:val="1"/>
              <w:rPr>
                <w:rFonts w:ascii="Times New Roman" w:eastAsia="Times New Roman" w:hAnsi="Times New Roman" w:cs="Times New Roman"/>
                <w:b/>
                <w:bCs/>
                <w:sz w:val="24"/>
                <w:szCs w:val="24"/>
              </w:rPr>
            </w:pPr>
          </w:p>
        </w:tc>
      </w:tr>
      <w:tr w:rsidR="00A3014B" w14:paraId="02A272E6" w14:textId="77777777" w:rsidTr="00AE34E3">
        <w:tc>
          <w:tcPr>
            <w:tcW w:w="4531" w:type="dxa"/>
          </w:tcPr>
          <w:p w14:paraId="00275AC3" w14:textId="6AD4318A" w:rsidR="00A3014B" w:rsidRDefault="00FF5129" w:rsidP="00A3014B">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Evaluations</w:t>
            </w:r>
          </w:p>
        </w:tc>
        <w:tc>
          <w:tcPr>
            <w:tcW w:w="4531" w:type="dxa"/>
          </w:tcPr>
          <w:p w14:paraId="45E2D1CD" w14:textId="4AF619AD" w:rsidR="00A3014B" w:rsidRPr="001E0821" w:rsidRDefault="00FF5129" w:rsidP="00AF0D30">
            <w:pPr>
              <w:spacing w:after="0" w:line="240" w:lineRule="auto"/>
              <w:outlineLvl w:val="1"/>
              <w:rPr>
                <w:rFonts w:ascii="Times New Roman" w:eastAsia="Times New Roman" w:hAnsi="Times New Roman" w:cs="Times New Roman"/>
                <w:sz w:val="24"/>
                <w:szCs w:val="24"/>
              </w:rPr>
            </w:pPr>
            <w:r w:rsidRPr="009B3287">
              <w:rPr>
                <w:rFonts w:ascii="Times New Roman" w:eastAsia="Times New Roman" w:hAnsi="Times New Roman" w:cs="Times New Roman"/>
                <w:sz w:val="24"/>
                <w:szCs w:val="24"/>
              </w:rPr>
              <w:t xml:space="preserve">Type : Contrôle </w:t>
            </w:r>
            <w:r w:rsidRPr="001E0821">
              <w:rPr>
                <w:rFonts w:ascii="Times New Roman" w:eastAsia="Times New Roman" w:hAnsi="Times New Roman" w:cs="Times New Roman"/>
                <w:sz w:val="24"/>
                <w:szCs w:val="24"/>
              </w:rPr>
              <w:t>continu</w:t>
            </w:r>
            <w:r w:rsidR="00C15A9F" w:rsidRPr="001E0821">
              <w:rPr>
                <w:rFonts w:ascii="Times New Roman" w:eastAsia="Times New Roman" w:hAnsi="Times New Roman" w:cs="Times New Roman"/>
                <w:sz w:val="24"/>
                <w:szCs w:val="24"/>
              </w:rPr>
              <w:t xml:space="preserve"> intégral</w:t>
            </w:r>
          </w:p>
          <w:p w14:paraId="050DEA4D" w14:textId="77777777" w:rsidR="00371426" w:rsidRPr="001E0821" w:rsidRDefault="00371426" w:rsidP="00AF0D30">
            <w:pPr>
              <w:spacing w:after="0" w:line="240" w:lineRule="auto"/>
              <w:outlineLvl w:val="1"/>
              <w:rPr>
                <w:rFonts w:ascii="Times New Roman" w:eastAsia="Times New Roman" w:hAnsi="Times New Roman" w:cs="Times New Roman"/>
                <w:sz w:val="24"/>
                <w:szCs w:val="24"/>
              </w:rPr>
            </w:pPr>
          </w:p>
          <w:p w14:paraId="51E44500" w14:textId="562FBEF7" w:rsidR="00FF5129" w:rsidRPr="009B3287" w:rsidRDefault="00FF5129" w:rsidP="00AF0D30">
            <w:pPr>
              <w:spacing w:after="0" w:line="240" w:lineRule="auto"/>
              <w:outlineLvl w:val="1"/>
              <w:rPr>
                <w:rFonts w:ascii="Times New Roman" w:eastAsia="Times New Roman" w:hAnsi="Times New Roman" w:cs="Times New Roman"/>
                <w:sz w:val="24"/>
                <w:szCs w:val="24"/>
              </w:rPr>
            </w:pPr>
            <w:r w:rsidRPr="001E0821">
              <w:rPr>
                <w:rFonts w:ascii="Times New Roman" w:eastAsia="Times New Roman" w:hAnsi="Times New Roman" w:cs="Times New Roman"/>
                <w:sz w:val="24"/>
                <w:szCs w:val="24"/>
              </w:rPr>
              <w:t>Nb d’évaluations :</w:t>
            </w:r>
            <w:r w:rsidR="00C15A9F" w:rsidRPr="001E0821">
              <w:rPr>
                <w:rFonts w:ascii="Times New Roman" w:eastAsia="Times New Roman" w:hAnsi="Times New Roman" w:cs="Times New Roman"/>
                <w:sz w:val="24"/>
                <w:szCs w:val="24"/>
              </w:rPr>
              <w:t xml:space="preserve"> 2 (+ une troisième évaluation si « seconde chance »)</w:t>
            </w:r>
          </w:p>
          <w:p w14:paraId="0C68451D" w14:textId="1E0CFFBC" w:rsidR="00FF5129" w:rsidRPr="009B3287" w:rsidRDefault="001E1C76" w:rsidP="00AF0D30">
            <w:pPr>
              <w:spacing w:after="0" w:line="240" w:lineRule="auto"/>
              <w:outlineLvl w:val="1"/>
              <w:rPr>
                <w:rFonts w:ascii="Times New Roman" w:eastAsia="Times New Roman" w:hAnsi="Times New Roman" w:cs="Times New Roman"/>
                <w:sz w:val="24"/>
                <w:szCs w:val="24"/>
              </w:rPr>
            </w:pPr>
            <w:r w:rsidRPr="009B3287">
              <w:rPr>
                <w:rFonts w:ascii="Times New Roman" w:eastAsia="Times New Roman" w:hAnsi="Times New Roman" w:cs="Times New Roman"/>
                <w:sz w:val="24"/>
                <w:szCs w:val="24"/>
              </w:rPr>
              <w:t>Modalités (</w:t>
            </w:r>
            <w:r w:rsidR="009B3287">
              <w:rPr>
                <w:rFonts w:ascii="Times New Roman" w:eastAsia="Times New Roman" w:hAnsi="Times New Roman" w:cs="Times New Roman"/>
                <w:sz w:val="24"/>
                <w:szCs w:val="24"/>
              </w:rPr>
              <w:t>n</w:t>
            </w:r>
            <w:r w:rsidR="00FF5129" w:rsidRPr="009B3287">
              <w:rPr>
                <w:rFonts w:ascii="Times New Roman" w:eastAsia="Times New Roman" w:hAnsi="Times New Roman" w:cs="Times New Roman"/>
                <w:sz w:val="24"/>
                <w:szCs w:val="24"/>
              </w:rPr>
              <w:t>ature</w:t>
            </w:r>
            <w:r w:rsidRPr="009B3287">
              <w:rPr>
                <w:rFonts w:ascii="Times New Roman" w:eastAsia="Times New Roman" w:hAnsi="Times New Roman" w:cs="Times New Roman"/>
                <w:sz w:val="24"/>
                <w:szCs w:val="24"/>
              </w:rPr>
              <w:t xml:space="preserve">, </w:t>
            </w:r>
            <w:r w:rsidR="00371426" w:rsidRPr="009B3287">
              <w:rPr>
                <w:rFonts w:ascii="Times New Roman" w:eastAsia="Times New Roman" w:hAnsi="Times New Roman" w:cs="Times New Roman"/>
                <w:sz w:val="24"/>
                <w:szCs w:val="24"/>
              </w:rPr>
              <w:t xml:space="preserve">durée, </w:t>
            </w:r>
            <w:r w:rsidRPr="009B3287">
              <w:rPr>
                <w:rFonts w:ascii="Times New Roman" w:eastAsia="Times New Roman" w:hAnsi="Times New Roman" w:cs="Times New Roman"/>
                <w:sz w:val="24"/>
                <w:szCs w:val="24"/>
              </w:rPr>
              <w:t xml:space="preserve">dates </w:t>
            </w:r>
            <w:r w:rsidR="007D6EAB" w:rsidRPr="009B3287">
              <w:rPr>
                <w:rFonts w:ascii="Times New Roman" w:eastAsia="Times New Roman" w:hAnsi="Times New Roman" w:cs="Times New Roman"/>
                <w:sz w:val="24"/>
                <w:szCs w:val="24"/>
              </w:rPr>
              <w:t>approximatives)</w:t>
            </w:r>
            <w:r w:rsidR="009B3287">
              <w:rPr>
                <w:rFonts w:ascii="Times New Roman" w:eastAsia="Times New Roman" w:hAnsi="Times New Roman" w:cs="Times New Roman"/>
                <w:sz w:val="24"/>
                <w:szCs w:val="24"/>
              </w:rPr>
              <w:t xml:space="preserve"> : </w:t>
            </w:r>
          </w:p>
          <w:p w14:paraId="72B5CF21" w14:textId="6F10A89A" w:rsidR="00141385" w:rsidRDefault="00141385" w:rsidP="00141385">
            <w:pPr>
              <w:pStyle w:val="Paragraphedeliste"/>
              <w:numPr>
                <w:ilvl w:val="0"/>
                <w:numId w:val="7"/>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Une évaluation</w:t>
            </w:r>
            <w:r w:rsidR="00922213">
              <w:rPr>
                <w:rFonts w:ascii="Times New Roman" w:eastAsia="Times New Roman" w:hAnsi="Times New Roman" w:cs="Times New Roman"/>
                <w:sz w:val="24"/>
                <w:szCs w:val="24"/>
              </w:rPr>
              <w:t xml:space="preserve"> </w:t>
            </w:r>
            <w:r w:rsidR="00922213" w:rsidRPr="00C14A0F">
              <w:rPr>
                <w:rFonts w:ascii="Times New Roman" w:eastAsia="Times New Roman" w:hAnsi="Times New Roman" w:cs="Times New Roman"/>
                <w:b/>
                <w:bCs/>
                <w:sz w:val="24"/>
                <w:szCs w:val="24"/>
              </w:rPr>
              <w:t>de restitution</w:t>
            </w:r>
            <w:r>
              <w:rPr>
                <w:rFonts w:ascii="Times New Roman" w:eastAsia="Times New Roman" w:hAnsi="Times New Roman" w:cs="Times New Roman"/>
                <w:sz w:val="24"/>
                <w:szCs w:val="24"/>
              </w:rPr>
              <w:t xml:space="preserve"> à mi-semestre (séance 8) </w:t>
            </w:r>
          </w:p>
          <w:p w14:paraId="43D829E9" w14:textId="49FEAB81" w:rsidR="00141385" w:rsidRPr="0093459C" w:rsidRDefault="00141385" w:rsidP="00141385">
            <w:pPr>
              <w:pStyle w:val="Paragraphedeliste"/>
              <w:numPr>
                <w:ilvl w:val="0"/>
                <w:numId w:val="7"/>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évaluation </w:t>
            </w:r>
            <w:r w:rsidR="00922213" w:rsidRPr="00C14A0F">
              <w:rPr>
                <w:rFonts w:ascii="Times New Roman" w:eastAsia="Times New Roman" w:hAnsi="Times New Roman" w:cs="Times New Roman"/>
                <w:b/>
                <w:bCs/>
                <w:sz w:val="24"/>
                <w:szCs w:val="24"/>
              </w:rPr>
              <w:t>de réflexion</w:t>
            </w:r>
            <w:r w:rsidR="009222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fin de semestre (dernière séance)</w:t>
            </w:r>
          </w:p>
          <w:p w14:paraId="00D19088" w14:textId="10CF935E" w:rsidR="001E1C76" w:rsidRDefault="001E1C76" w:rsidP="00AF0D30">
            <w:pPr>
              <w:spacing w:after="0" w:line="240" w:lineRule="auto"/>
              <w:outlineLvl w:val="1"/>
              <w:rPr>
                <w:rFonts w:ascii="Times New Roman" w:eastAsia="Times New Roman" w:hAnsi="Times New Roman" w:cs="Times New Roman"/>
                <w:b/>
                <w:bCs/>
                <w:sz w:val="24"/>
                <w:szCs w:val="24"/>
              </w:rPr>
            </w:pPr>
          </w:p>
        </w:tc>
      </w:tr>
      <w:tr w:rsidR="00EE2461" w14:paraId="4C7D9843" w14:textId="77777777" w:rsidTr="00BA2949">
        <w:tc>
          <w:tcPr>
            <w:tcW w:w="9062" w:type="dxa"/>
            <w:gridSpan w:val="2"/>
          </w:tcPr>
          <w:p w14:paraId="7AD15A2E" w14:textId="77777777" w:rsidR="00EE2461" w:rsidRDefault="00EE2461" w:rsidP="00AF0D30">
            <w:pPr>
              <w:spacing w:after="0" w:line="240" w:lineRule="auto"/>
              <w:outlineLvl w:val="1"/>
              <w:rPr>
                <w:rFonts w:ascii="Times New Roman" w:eastAsia="Times New Roman" w:hAnsi="Times New Roman" w:cs="Times New Roman"/>
                <w:b/>
                <w:bCs/>
                <w:sz w:val="24"/>
                <w:szCs w:val="24"/>
              </w:rPr>
            </w:pPr>
          </w:p>
        </w:tc>
      </w:tr>
    </w:tbl>
    <w:p w14:paraId="77D48B97" w14:textId="351963B2" w:rsidR="00EB04DA" w:rsidRPr="00565A15" w:rsidRDefault="00EB04DA" w:rsidP="00741008">
      <w:pPr>
        <w:spacing w:after="0" w:line="240" w:lineRule="auto"/>
        <w:outlineLvl w:val="1"/>
        <w:rPr>
          <w:rFonts w:ascii="Times New Roman" w:eastAsia="Times New Roman" w:hAnsi="Times New Roman" w:cs="Times New Roman"/>
          <w:b/>
          <w:bCs/>
        </w:rPr>
      </w:pPr>
    </w:p>
    <w:sectPr w:rsidR="00EB04DA" w:rsidRPr="00565A15" w:rsidSect="007527ED">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6C08" w14:textId="77777777" w:rsidR="00131267" w:rsidRDefault="00131267" w:rsidP="00B206F6">
      <w:pPr>
        <w:spacing w:after="0" w:line="240" w:lineRule="auto"/>
      </w:pPr>
      <w:r>
        <w:separator/>
      </w:r>
    </w:p>
  </w:endnote>
  <w:endnote w:type="continuationSeparator" w:id="0">
    <w:p w14:paraId="1DE36326" w14:textId="77777777" w:rsidR="00131267" w:rsidRDefault="00131267" w:rsidP="00B2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E8C9" w14:textId="77777777" w:rsidR="00B51506" w:rsidRDefault="00B51506" w:rsidP="00F062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2E2630" w14:textId="77777777" w:rsidR="00B51506" w:rsidRDefault="00B51506" w:rsidP="00B206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A489" w14:textId="77777777" w:rsidR="00B51506" w:rsidRDefault="00B51506" w:rsidP="00F062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72C3">
      <w:rPr>
        <w:rStyle w:val="Numrodepage"/>
        <w:noProof/>
      </w:rPr>
      <w:t>1</w:t>
    </w:r>
    <w:r>
      <w:rPr>
        <w:rStyle w:val="Numrodepage"/>
      </w:rPr>
      <w:fldChar w:fldCharType="end"/>
    </w:r>
  </w:p>
  <w:p w14:paraId="3CF4D7CA" w14:textId="77777777" w:rsidR="00B51506" w:rsidRDefault="00B51506" w:rsidP="00B206F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B3BD" w14:textId="77777777" w:rsidR="00131267" w:rsidRDefault="00131267" w:rsidP="00B206F6">
      <w:pPr>
        <w:spacing w:after="0" w:line="240" w:lineRule="auto"/>
      </w:pPr>
      <w:r>
        <w:separator/>
      </w:r>
    </w:p>
  </w:footnote>
  <w:footnote w:type="continuationSeparator" w:id="0">
    <w:p w14:paraId="146DE679" w14:textId="77777777" w:rsidR="00131267" w:rsidRDefault="00131267" w:rsidP="00B2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B4C" w14:textId="77777777" w:rsidR="00B51506" w:rsidRDefault="004F7DAA">
    <w:pPr>
      <w:pStyle w:val="En-tte"/>
    </w:pPr>
    <w:r>
      <w:rPr>
        <w:noProof/>
        <w:lang w:eastAsia="fr-FR"/>
      </w:rPr>
      <w:drawing>
        <wp:anchor distT="0" distB="0" distL="114300" distR="114300" simplePos="0" relativeHeight="251660288" behindDoc="0" locked="0" layoutInCell="1" allowOverlap="1" wp14:anchorId="05C736F3" wp14:editId="4693C232">
          <wp:simplePos x="0" y="0"/>
          <wp:positionH relativeFrom="column">
            <wp:posOffset>3996690</wp:posOffset>
          </wp:positionH>
          <wp:positionV relativeFrom="paragraph">
            <wp:posOffset>-19050</wp:posOffset>
          </wp:positionV>
          <wp:extent cx="1771650" cy="600075"/>
          <wp:effectExtent l="0" t="0" r="6350" b="952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2D8DE1AA" wp14:editId="37170702">
          <wp:extent cx="1295400" cy="55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58800"/>
                  </a:xfrm>
                  <a:prstGeom prst="rect">
                    <a:avLst/>
                  </a:prstGeom>
                  <a:noFill/>
                  <a:ln>
                    <a:noFill/>
                  </a:ln>
                </pic:spPr>
              </pic:pic>
            </a:graphicData>
          </a:graphic>
        </wp:inline>
      </w:drawing>
    </w:r>
    <w:r w:rsidR="00B51506">
      <w:tab/>
    </w:r>
    <w:r w:rsidR="00B51506">
      <w:tab/>
    </w:r>
    <w:r w:rsidR="00B51506">
      <w:tab/>
    </w:r>
    <w:r w:rsidR="00B51506">
      <w:tab/>
    </w:r>
    <w:r w:rsidR="00B51506">
      <w:tab/>
    </w:r>
    <w:r w:rsidR="00B515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35E2"/>
    <w:multiLevelType w:val="hybridMultilevel"/>
    <w:tmpl w:val="A1FA91F0"/>
    <w:lvl w:ilvl="0" w:tplc="043E036C">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0A7E"/>
    <w:multiLevelType w:val="hybridMultilevel"/>
    <w:tmpl w:val="88F8FA8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E63388B"/>
    <w:multiLevelType w:val="hybridMultilevel"/>
    <w:tmpl w:val="649638AC"/>
    <w:lvl w:ilvl="0" w:tplc="45F2B9B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A65D54"/>
    <w:multiLevelType w:val="hybridMultilevel"/>
    <w:tmpl w:val="4B1CFD6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3EA514B"/>
    <w:multiLevelType w:val="hybridMultilevel"/>
    <w:tmpl w:val="8806D830"/>
    <w:lvl w:ilvl="0" w:tplc="B5A8856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3E152FD"/>
    <w:multiLevelType w:val="hybridMultilevel"/>
    <w:tmpl w:val="F374559A"/>
    <w:lvl w:ilvl="0" w:tplc="EC680B7C">
      <w:start w:val="3"/>
      <w:numFmt w:val="bullet"/>
      <w:lvlText w:val="-"/>
      <w:lvlJc w:val="left"/>
      <w:pPr>
        <w:ind w:left="420" w:hanging="360"/>
      </w:pPr>
      <w:rPr>
        <w:rFonts w:ascii="Times New Roman" w:eastAsia="Times New Roman" w:hAnsi="Times New Roman" w:cs="Times New Roman"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6" w15:restartNumberingAfterBreak="0">
    <w:nsid w:val="52891FC3"/>
    <w:multiLevelType w:val="hybridMultilevel"/>
    <w:tmpl w:val="5E8A4732"/>
    <w:lvl w:ilvl="0" w:tplc="E362DDB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C6318F2"/>
    <w:multiLevelType w:val="hybridMultilevel"/>
    <w:tmpl w:val="5B449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AD46546"/>
    <w:multiLevelType w:val="hybridMultilevel"/>
    <w:tmpl w:val="666A759C"/>
    <w:lvl w:ilvl="0" w:tplc="2542DC2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645626750">
    <w:abstractNumId w:val="8"/>
  </w:num>
  <w:num w:numId="2" w16cid:durableId="1615946127">
    <w:abstractNumId w:val="2"/>
  </w:num>
  <w:num w:numId="3" w16cid:durableId="325783962">
    <w:abstractNumId w:val="4"/>
  </w:num>
  <w:num w:numId="4" w16cid:durableId="599410396">
    <w:abstractNumId w:val="6"/>
  </w:num>
  <w:num w:numId="5" w16cid:durableId="1506017785">
    <w:abstractNumId w:val="0"/>
  </w:num>
  <w:num w:numId="6" w16cid:durableId="1865745996">
    <w:abstractNumId w:val="1"/>
  </w:num>
  <w:num w:numId="7" w16cid:durableId="429812655">
    <w:abstractNumId w:val="5"/>
  </w:num>
  <w:num w:numId="8" w16cid:durableId="275913143">
    <w:abstractNumId w:val="3"/>
  </w:num>
  <w:num w:numId="9" w16cid:durableId="1480996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1"/>
    <w:rsid w:val="00000387"/>
    <w:rsid w:val="00012B99"/>
    <w:rsid w:val="00035538"/>
    <w:rsid w:val="00036C33"/>
    <w:rsid w:val="0004051E"/>
    <w:rsid w:val="00062993"/>
    <w:rsid w:val="0006785A"/>
    <w:rsid w:val="00092422"/>
    <w:rsid w:val="000C1A4E"/>
    <w:rsid w:val="000C3EBD"/>
    <w:rsid w:val="000C5A8D"/>
    <w:rsid w:val="000F0BB0"/>
    <w:rsid w:val="001000D5"/>
    <w:rsid w:val="001063CA"/>
    <w:rsid w:val="00131267"/>
    <w:rsid w:val="00136FE0"/>
    <w:rsid w:val="00141385"/>
    <w:rsid w:val="00157D62"/>
    <w:rsid w:val="001719C5"/>
    <w:rsid w:val="00171B29"/>
    <w:rsid w:val="00176811"/>
    <w:rsid w:val="00194865"/>
    <w:rsid w:val="0019783F"/>
    <w:rsid w:val="001A4D22"/>
    <w:rsid w:val="001C2020"/>
    <w:rsid w:val="001C4E00"/>
    <w:rsid w:val="001C5287"/>
    <w:rsid w:val="001C7CCC"/>
    <w:rsid w:val="001D4C5E"/>
    <w:rsid w:val="001E0821"/>
    <w:rsid w:val="001E1C76"/>
    <w:rsid w:val="001F1F60"/>
    <w:rsid w:val="001F4138"/>
    <w:rsid w:val="00217FE1"/>
    <w:rsid w:val="00235E2E"/>
    <w:rsid w:val="00241E28"/>
    <w:rsid w:val="002604FF"/>
    <w:rsid w:val="00280DB7"/>
    <w:rsid w:val="00281100"/>
    <w:rsid w:val="002903A8"/>
    <w:rsid w:val="00290DD1"/>
    <w:rsid w:val="00293383"/>
    <w:rsid w:val="00295A7F"/>
    <w:rsid w:val="00295C1F"/>
    <w:rsid w:val="002A159E"/>
    <w:rsid w:val="002A5C02"/>
    <w:rsid w:val="002A7EAF"/>
    <w:rsid w:val="002B55B2"/>
    <w:rsid w:val="002C2EF0"/>
    <w:rsid w:val="002E06CC"/>
    <w:rsid w:val="002E4BCE"/>
    <w:rsid w:val="00311C09"/>
    <w:rsid w:val="003170DD"/>
    <w:rsid w:val="00320DD1"/>
    <w:rsid w:val="003407E2"/>
    <w:rsid w:val="00364A7D"/>
    <w:rsid w:val="00371426"/>
    <w:rsid w:val="003742D4"/>
    <w:rsid w:val="00375EE1"/>
    <w:rsid w:val="00382EEC"/>
    <w:rsid w:val="003859C7"/>
    <w:rsid w:val="003A1D71"/>
    <w:rsid w:val="003A6A5B"/>
    <w:rsid w:val="003B0955"/>
    <w:rsid w:val="003B1090"/>
    <w:rsid w:val="003B6F75"/>
    <w:rsid w:val="003D3117"/>
    <w:rsid w:val="003D764F"/>
    <w:rsid w:val="00431034"/>
    <w:rsid w:val="00431F58"/>
    <w:rsid w:val="0044646B"/>
    <w:rsid w:val="004558AD"/>
    <w:rsid w:val="0047248A"/>
    <w:rsid w:val="00481B9C"/>
    <w:rsid w:val="00493181"/>
    <w:rsid w:val="00496E02"/>
    <w:rsid w:val="004A3A02"/>
    <w:rsid w:val="004A42BD"/>
    <w:rsid w:val="004A64ED"/>
    <w:rsid w:val="004C5A1C"/>
    <w:rsid w:val="004C761D"/>
    <w:rsid w:val="004D6A22"/>
    <w:rsid w:val="004E0F1F"/>
    <w:rsid w:val="004E2940"/>
    <w:rsid w:val="004E48CC"/>
    <w:rsid w:val="004F64DE"/>
    <w:rsid w:val="004F7DAA"/>
    <w:rsid w:val="00551E14"/>
    <w:rsid w:val="00557AEB"/>
    <w:rsid w:val="00565A15"/>
    <w:rsid w:val="00566DDA"/>
    <w:rsid w:val="00587FE3"/>
    <w:rsid w:val="005903EA"/>
    <w:rsid w:val="00597C72"/>
    <w:rsid w:val="005A16E9"/>
    <w:rsid w:val="005A1A95"/>
    <w:rsid w:val="005B403D"/>
    <w:rsid w:val="005C6485"/>
    <w:rsid w:val="005D24DE"/>
    <w:rsid w:val="005F022B"/>
    <w:rsid w:val="00604045"/>
    <w:rsid w:val="00610C5F"/>
    <w:rsid w:val="00624BAC"/>
    <w:rsid w:val="006458B3"/>
    <w:rsid w:val="00654736"/>
    <w:rsid w:val="00655983"/>
    <w:rsid w:val="00666D5A"/>
    <w:rsid w:val="00670CEE"/>
    <w:rsid w:val="00677F93"/>
    <w:rsid w:val="0068476A"/>
    <w:rsid w:val="0069159C"/>
    <w:rsid w:val="006C68A5"/>
    <w:rsid w:val="006E40CF"/>
    <w:rsid w:val="006F0E69"/>
    <w:rsid w:val="00711B20"/>
    <w:rsid w:val="00741008"/>
    <w:rsid w:val="007421E9"/>
    <w:rsid w:val="00751D3C"/>
    <w:rsid w:val="007527ED"/>
    <w:rsid w:val="00756873"/>
    <w:rsid w:val="00762B34"/>
    <w:rsid w:val="00766F32"/>
    <w:rsid w:val="00780B12"/>
    <w:rsid w:val="00785D10"/>
    <w:rsid w:val="007B077F"/>
    <w:rsid w:val="007B3070"/>
    <w:rsid w:val="007B318A"/>
    <w:rsid w:val="007C1C03"/>
    <w:rsid w:val="007D0E84"/>
    <w:rsid w:val="007D6C69"/>
    <w:rsid w:val="007D6EAB"/>
    <w:rsid w:val="007F1926"/>
    <w:rsid w:val="00825512"/>
    <w:rsid w:val="008269F4"/>
    <w:rsid w:val="00827204"/>
    <w:rsid w:val="00827EDE"/>
    <w:rsid w:val="00844A56"/>
    <w:rsid w:val="00850592"/>
    <w:rsid w:val="00855A75"/>
    <w:rsid w:val="00877AF8"/>
    <w:rsid w:val="008A3205"/>
    <w:rsid w:val="008B0583"/>
    <w:rsid w:val="008D15F2"/>
    <w:rsid w:val="008E6EC6"/>
    <w:rsid w:val="008F5D60"/>
    <w:rsid w:val="008F688D"/>
    <w:rsid w:val="00922213"/>
    <w:rsid w:val="00923E7B"/>
    <w:rsid w:val="0092555A"/>
    <w:rsid w:val="0093459C"/>
    <w:rsid w:val="00950166"/>
    <w:rsid w:val="00952552"/>
    <w:rsid w:val="00962271"/>
    <w:rsid w:val="00962468"/>
    <w:rsid w:val="009706B9"/>
    <w:rsid w:val="0098128E"/>
    <w:rsid w:val="009830CD"/>
    <w:rsid w:val="009A5856"/>
    <w:rsid w:val="009B0B7C"/>
    <w:rsid w:val="009B107F"/>
    <w:rsid w:val="009B3287"/>
    <w:rsid w:val="009D6261"/>
    <w:rsid w:val="009E0838"/>
    <w:rsid w:val="00A034C9"/>
    <w:rsid w:val="00A058A5"/>
    <w:rsid w:val="00A13AA1"/>
    <w:rsid w:val="00A2603B"/>
    <w:rsid w:val="00A3014B"/>
    <w:rsid w:val="00A36743"/>
    <w:rsid w:val="00A37B4C"/>
    <w:rsid w:val="00A64E11"/>
    <w:rsid w:val="00A72E61"/>
    <w:rsid w:val="00A7488D"/>
    <w:rsid w:val="00A82007"/>
    <w:rsid w:val="00A872C3"/>
    <w:rsid w:val="00A9613D"/>
    <w:rsid w:val="00A9743F"/>
    <w:rsid w:val="00AC60CE"/>
    <w:rsid w:val="00AC6591"/>
    <w:rsid w:val="00AC681B"/>
    <w:rsid w:val="00AD7D7F"/>
    <w:rsid w:val="00AE34E3"/>
    <w:rsid w:val="00AF0D30"/>
    <w:rsid w:val="00AF6F8F"/>
    <w:rsid w:val="00B16E3D"/>
    <w:rsid w:val="00B206F6"/>
    <w:rsid w:val="00B23751"/>
    <w:rsid w:val="00B417E4"/>
    <w:rsid w:val="00B51506"/>
    <w:rsid w:val="00B62DC7"/>
    <w:rsid w:val="00B7307E"/>
    <w:rsid w:val="00B757FE"/>
    <w:rsid w:val="00BA208A"/>
    <w:rsid w:val="00BA7105"/>
    <w:rsid w:val="00BA7174"/>
    <w:rsid w:val="00BB18CC"/>
    <w:rsid w:val="00BC3BF7"/>
    <w:rsid w:val="00BC657C"/>
    <w:rsid w:val="00BE455F"/>
    <w:rsid w:val="00BE46D5"/>
    <w:rsid w:val="00BF1FC3"/>
    <w:rsid w:val="00C01B3D"/>
    <w:rsid w:val="00C07158"/>
    <w:rsid w:val="00C13C48"/>
    <w:rsid w:val="00C14A0F"/>
    <w:rsid w:val="00C15A9F"/>
    <w:rsid w:val="00C25779"/>
    <w:rsid w:val="00C26510"/>
    <w:rsid w:val="00C37E5A"/>
    <w:rsid w:val="00C4620A"/>
    <w:rsid w:val="00C538F7"/>
    <w:rsid w:val="00C60FB4"/>
    <w:rsid w:val="00C6649B"/>
    <w:rsid w:val="00C74630"/>
    <w:rsid w:val="00CA1D74"/>
    <w:rsid w:val="00CB70AB"/>
    <w:rsid w:val="00CC2DA7"/>
    <w:rsid w:val="00CF68E4"/>
    <w:rsid w:val="00D00F2E"/>
    <w:rsid w:val="00D03222"/>
    <w:rsid w:val="00D240A9"/>
    <w:rsid w:val="00D36728"/>
    <w:rsid w:val="00D412A7"/>
    <w:rsid w:val="00D46CFE"/>
    <w:rsid w:val="00D61D0E"/>
    <w:rsid w:val="00D7496B"/>
    <w:rsid w:val="00D80F8B"/>
    <w:rsid w:val="00D93654"/>
    <w:rsid w:val="00D96E5C"/>
    <w:rsid w:val="00DA41A6"/>
    <w:rsid w:val="00DB7C24"/>
    <w:rsid w:val="00DC67AE"/>
    <w:rsid w:val="00DD6D05"/>
    <w:rsid w:val="00DF4E08"/>
    <w:rsid w:val="00E20C16"/>
    <w:rsid w:val="00E25C35"/>
    <w:rsid w:val="00E45433"/>
    <w:rsid w:val="00E56965"/>
    <w:rsid w:val="00E56EAB"/>
    <w:rsid w:val="00E66302"/>
    <w:rsid w:val="00E67AD0"/>
    <w:rsid w:val="00E901AF"/>
    <w:rsid w:val="00E90953"/>
    <w:rsid w:val="00E97FC7"/>
    <w:rsid w:val="00EA4C26"/>
    <w:rsid w:val="00EB04DA"/>
    <w:rsid w:val="00EB05EB"/>
    <w:rsid w:val="00EB585E"/>
    <w:rsid w:val="00ED3B92"/>
    <w:rsid w:val="00ED5B4A"/>
    <w:rsid w:val="00ED6842"/>
    <w:rsid w:val="00EE2461"/>
    <w:rsid w:val="00F06209"/>
    <w:rsid w:val="00F06D8D"/>
    <w:rsid w:val="00F0755D"/>
    <w:rsid w:val="00F137F4"/>
    <w:rsid w:val="00F25AFF"/>
    <w:rsid w:val="00F27F74"/>
    <w:rsid w:val="00F30552"/>
    <w:rsid w:val="00F4243A"/>
    <w:rsid w:val="00F525F7"/>
    <w:rsid w:val="00F550F4"/>
    <w:rsid w:val="00F83ABF"/>
    <w:rsid w:val="00F922F8"/>
    <w:rsid w:val="00FB383C"/>
    <w:rsid w:val="00FB5B5C"/>
    <w:rsid w:val="00FC169C"/>
    <w:rsid w:val="00FC1D0F"/>
    <w:rsid w:val="00FC4CDB"/>
    <w:rsid w:val="00FC4E4A"/>
    <w:rsid w:val="00FC7B6A"/>
    <w:rsid w:val="00FD64F7"/>
    <w:rsid w:val="00FD7CCF"/>
    <w:rsid w:val="00FF51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397FF"/>
  <w15:docId w15:val="{A3A7C8CF-7817-1A48-B042-F351936E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61"/>
    <w:pPr>
      <w:spacing w:after="200" w:line="276" w:lineRule="auto"/>
    </w:pPr>
    <w:rPr>
      <w:rFonts w:ascii="Calibri" w:hAnsi="Calibri"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780B12"/>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BB18CC"/>
    <w:pPr>
      <w:ind w:left="720"/>
      <w:contextualSpacing/>
    </w:pPr>
  </w:style>
  <w:style w:type="paragraph" w:styleId="Pieddepage">
    <w:name w:val="footer"/>
    <w:basedOn w:val="Normal"/>
    <w:link w:val="PieddepageCar"/>
    <w:uiPriority w:val="99"/>
    <w:rsid w:val="00B206F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206F6"/>
    <w:rPr>
      <w:rFonts w:ascii="Calibri" w:eastAsia="Times New Roman" w:hAnsi="Calibri" w:cs="Calibri"/>
      <w:sz w:val="22"/>
      <w:szCs w:val="22"/>
      <w:lang w:eastAsia="en-US"/>
    </w:rPr>
  </w:style>
  <w:style w:type="character" w:styleId="Numrodepage">
    <w:name w:val="page number"/>
    <w:basedOn w:val="Policepardfaut"/>
    <w:uiPriority w:val="99"/>
    <w:semiHidden/>
    <w:rsid w:val="00B206F6"/>
  </w:style>
  <w:style w:type="paragraph" w:styleId="Notedebasdepage">
    <w:name w:val="footnote text"/>
    <w:basedOn w:val="Normal"/>
    <w:link w:val="NotedebasdepageCar"/>
    <w:uiPriority w:val="99"/>
    <w:semiHidden/>
    <w:rsid w:val="00AD7D7F"/>
    <w:rPr>
      <w:sz w:val="20"/>
      <w:szCs w:val="20"/>
    </w:rPr>
  </w:style>
  <w:style w:type="character" w:customStyle="1" w:styleId="NotedebasdepageCar">
    <w:name w:val="Note de bas de page Car"/>
    <w:basedOn w:val="Policepardfaut"/>
    <w:link w:val="Notedebasdepage"/>
    <w:uiPriority w:val="99"/>
    <w:semiHidden/>
    <w:rsid w:val="00AD7D7F"/>
    <w:rPr>
      <w:rFonts w:ascii="Calibri" w:eastAsia="Times New Roman" w:hAnsi="Calibri" w:cs="Calibri"/>
      <w:sz w:val="20"/>
      <w:szCs w:val="20"/>
      <w:lang w:eastAsia="en-US"/>
    </w:rPr>
  </w:style>
  <w:style w:type="character" w:styleId="Appelnotedebasdep">
    <w:name w:val="footnote reference"/>
    <w:basedOn w:val="Policepardfaut"/>
    <w:uiPriority w:val="99"/>
    <w:semiHidden/>
    <w:rsid w:val="00AD7D7F"/>
    <w:rPr>
      <w:vertAlign w:val="superscript"/>
    </w:rPr>
  </w:style>
  <w:style w:type="paragraph" w:styleId="Textedebulles">
    <w:name w:val="Balloon Text"/>
    <w:basedOn w:val="Normal"/>
    <w:link w:val="TextedebullesCar"/>
    <w:uiPriority w:val="99"/>
    <w:semiHidden/>
    <w:rsid w:val="00C4620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4620A"/>
    <w:rPr>
      <w:rFonts w:ascii="Lucida Grande" w:eastAsia="Times New Roman" w:hAnsi="Lucida Grande" w:cs="Lucida Grande"/>
      <w:sz w:val="18"/>
      <w:szCs w:val="18"/>
      <w:lang w:eastAsia="en-US"/>
    </w:rPr>
  </w:style>
  <w:style w:type="paragraph" w:styleId="En-tte">
    <w:name w:val="header"/>
    <w:basedOn w:val="Normal"/>
    <w:link w:val="En-tteCar"/>
    <w:uiPriority w:val="99"/>
    <w:rsid w:val="001C2020"/>
    <w:pPr>
      <w:tabs>
        <w:tab w:val="center" w:pos="4703"/>
        <w:tab w:val="right" w:pos="9406"/>
      </w:tabs>
      <w:spacing w:after="0" w:line="240" w:lineRule="auto"/>
    </w:pPr>
  </w:style>
  <w:style w:type="character" w:customStyle="1" w:styleId="En-tteCar">
    <w:name w:val="En-tête Car"/>
    <w:basedOn w:val="Policepardfaut"/>
    <w:link w:val="En-tte"/>
    <w:uiPriority w:val="99"/>
    <w:rsid w:val="001C2020"/>
    <w:rPr>
      <w:rFonts w:ascii="Calibri" w:eastAsia="Times New Roman" w:hAnsi="Calibri" w:cs="Calibri"/>
      <w:sz w:val="22"/>
      <w:szCs w:val="22"/>
      <w:lang w:eastAsia="en-US"/>
    </w:rPr>
  </w:style>
  <w:style w:type="character" w:styleId="Accentuation">
    <w:name w:val="Emphasis"/>
    <w:basedOn w:val="Policepardfaut"/>
    <w:uiPriority w:val="20"/>
    <w:qFormat/>
    <w:rsid w:val="00741008"/>
    <w:rPr>
      <w:i/>
      <w:iCs/>
    </w:rPr>
  </w:style>
  <w:style w:type="character" w:styleId="Lienhypertexte">
    <w:name w:val="Hyperlink"/>
    <w:basedOn w:val="Policepardfaut"/>
    <w:uiPriority w:val="99"/>
    <w:unhideWhenUsed/>
    <w:rsid w:val="00923E7B"/>
    <w:rPr>
      <w:color w:val="0000FF" w:themeColor="hyperlink"/>
      <w:u w:val="single"/>
    </w:rPr>
  </w:style>
  <w:style w:type="character" w:styleId="Mentionnonrsolue">
    <w:name w:val="Unresolved Mention"/>
    <w:basedOn w:val="Policepardfaut"/>
    <w:uiPriority w:val="99"/>
    <w:semiHidden/>
    <w:unhideWhenUsed/>
    <w:rsid w:val="0092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418">
      <w:bodyDiv w:val="1"/>
      <w:marLeft w:val="0"/>
      <w:marRight w:val="0"/>
      <w:marTop w:val="0"/>
      <w:marBottom w:val="0"/>
      <w:divBdr>
        <w:top w:val="none" w:sz="0" w:space="0" w:color="auto"/>
        <w:left w:val="none" w:sz="0" w:space="0" w:color="auto"/>
        <w:bottom w:val="none" w:sz="0" w:space="0" w:color="auto"/>
        <w:right w:val="none" w:sz="0" w:space="0" w:color="auto"/>
      </w:divBdr>
    </w:div>
    <w:div w:id="693505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ean-union.europa.eu/index_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bert-schuman.eu/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1e9783-d0a0-48f8-850e-0b081b46d788}" enabled="0" method="" siteId="{e21e9783-d0a0-48f8-850e-0b081b46d788}"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365</Words>
  <Characters>2010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Savoie</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TURPIN</dc:creator>
  <cp:keywords/>
  <dc:description/>
  <cp:lastModifiedBy>Damien Bouvier</cp:lastModifiedBy>
  <cp:revision>6</cp:revision>
  <cp:lastPrinted>2017-11-27T12:17:00Z</cp:lastPrinted>
  <dcterms:created xsi:type="dcterms:W3CDTF">2026-01-20T13:02:00Z</dcterms:created>
  <dcterms:modified xsi:type="dcterms:W3CDTF">2026-01-20T13:11:00Z</dcterms:modified>
</cp:coreProperties>
</file>